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hangingChars="445"/>
        <w:jc w:val="center"/>
        <w:textAlignment w:val="auto"/>
        <w:outlineLvl w:val="9"/>
        <w:rPr>
          <w:rFonts w:ascii="方正小标宋简体" w:hAnsi="方正小标宋简体" w:eastAsia="方正小标宋简体"/>
          <w:color w:val="auto"/>
          <w:sz w:val="40"/>
          <w:szCs w:val="40"/>
        </w:rPr>
      </w:pPr>
      <w:r>
        <w:rPr>
          <w:rFonts w:ascii="方正小标宋简体" w:hAnsi="方正小标宋简体" w:eastAsia="方正小标宋简体"/>
          <w:b/>
          <w:bCs/>
          <w:color w:val="auto"/>
          <w:sz w:val="40"/>
          <w:szCs w:val="40"/>
        </w:rPr>
        <w:t>资源环境学院</w:t>
      </w:r>
    </w:p>
    <w:p>
      <w:pPr>
        <w:keepNext w:val="0"/>
        <w:keepLines w:val="0"/>
        <w:pageBreakBefore w:val="0"/>
        <w:widowControl w:val="0"/>
        <w:kinsoku/>
        <w:wordWrap/>
        <w:overflowPunct/>
        <w:topLinePunct w:val="0"/>
        <w:autoSpaceDE/>
        <w:autoSpaceDN/>
        <w:bidi w:val="0"/>
        <w:adjustRightInd/>
        <w:snapToGrid/>
        <w:spacing w:line="600" w:lineRule="exact"/>
        <w:ind w:left="0" w:hangingChars="445"/>
        <w:jc w:val="center"/>
        <w:textAlignment w:val="auto"/>
        <w:outlineLvl w:val="9"/>
        <w:rPr>
          <w:rFonts w:ascii="方正小标宋简体" w:hAnsi="方正小标宋简体" w:eastAsia="方正小标宋简体"/>
          <w:color w:val="auto"/>
          <w:sz w:val="40"/>
          <w:szCs w:val="40"/>
        </w:rPr>
      </w:pPr>
      <w:r>
        <w:rPr>
          <w:rFonts w:ascii="方正小标宋简体" w:hAnsi="方正小标宋简体" w:eastAsia="方正小标宋简体"/>
          <w:b/>
          <w:bCs/>
          <w:color w:val="auto"/>
          <w:sz w:val="40"/>
          <w:szCs w:val="40"/>
        </w:rPr>
        <w:t>关于2019年推荐优秀应届本科毕业生</w:t>
      </w:r>
    </w:p>
    <w:p>
      <w:pPr>
        <w:keepNext w:val="0"/>
        <w:keepLines w:val="0"/>
        <w:pageBreakBefore w:val="0"/>
        <w:widowControl w:val="0"/>
        <w:kinsoku/>
        <w:wordWrap/>
        <w:overflowPunct/>
        <w:topLinePunct w:val="0"/>
        <w:autoSpaceDE/>
        <w:autoSpaceDN/>
        <w:bidi w:val="0"/>
        <w:adjustRightInd/>
        <w:snapToGrid/>
        <w:spacing w:line="600" w:lineRule="exact"/>
        <w:ind w:left="0" w:hangingChars="445"/>
        <w:jc w:val="center"/>
        <w:textAlignment w:val="auto"/>
        <w:outlineLvl w:val="9"/>
        <w:rPr>
          <w:rFonts w:ascii="方正小标宋简体" w:hAnsi="方正小标宋简体" w:eastAsia="方正小标宋简体"/>
          <w:color w:val="auto"/>
          <w:sz w:val="40"/>
          <w:szCs w:val="40"/>
        </w:rPr>
      </w:pPr>
      <w:r>
        <w:rPr>
          <w:rFonts w:ascii="方正小标宋简体" w:hAnsi="方正小标宋简体" w:eastAsia="方正小标宋简体"/>
          <w:b/>
          <w:bCs/>
          <w:color w:val="auto"/>
          <w:sz w:val="40"/>
          <w:szCs w:val="40"/>
        </w:rPr>
        <w:t>免试攻读研究生工作实施细则</w:t>
      </w:r>
    </w:p>
    <w:p>
      <w:pPr>
        <w:ind w:firstLineChars="200"/>
        <w:jc w:val="both"/>
        <w:rPr>
          <w:rFonts w:ascii="仿宋" w:hAnsi="仿宋" w:eastAsia="仿宋"/>
          <w:color w:val="auto"/>
          <w:sz w:val="32"/>
          <w:szCs w:val="32"/>
        </w:rPr>
      </w:pPr>
    </w:p>
    <w:p>
      <w:pPr>
        <w:ind w:firstLineChars="200"/>
        <w:jc w:val="both"/>
        <w:rPr>
          <w:color w:val="auto"/>
        </w:rPr>
      </w:pPr>
      <w:r>
        <w:rPr>
          <w:rFonts w:ascii="仿宋" w:hAnsi="仿宋" w:eastAsia="仿宋"/>
          <w:color w:val="auto"/>
          <w:sz w:val="32"/>
          <w:szCs w:val="32"/>
        </w:rPr>
        <w:t>为进一步规范优秀应届本科毕业生免试攻读研究生（以下简称“推免生”）的推荐工作，加大拔尖创新人才选拔培养力度，根据《西北农林科技大学推荐优秀应届本科毕业生免试攻读研究生实施办法》（校研发〔2018〕142号）有关规定，本着公平、公正、公开的原则，结合学院实际，特制定本工作实施细则。</w:t>
      </w:r>
    </w:p>
    <w:p>
      <w:pPr>
        <w:ind w:firstLineChars="200"/>
        <w:jc w:val="both"/>
        <w:rPr>
          <w:rFonts w:ascii="仿宋" w:hAnsi="仿宋" w:eastAsia="仿宋"/>
          <w:color w:val="auto"/>
          <w:sz w:val="32"/>
          <w:szCs w:val="32"/>
        </w:rPr>
      </w:pPr>
      <w:r>
        <w:rPr>
          <w:rFonts w:ascii="仿宋" w:hAnsi="仿宋" w:eastAsia="仿宋"/>
          <w:b/>
          <w:bCs/>
          <w:color w:val="auto"/>
          <w:sz w:val="32"/>
          <w:szCs w:val="32"/>
        </w:rPr>
        <w:t>一、组织机构</w:t>
      </w:r>
    </w:p>
    <w:p>
      <w:pPr>
        <w:ind w:firstLineChars="200"/>
        <w:jc w:val="both"/>
        <w:rPr>
          <w:rFonts w:ascii="仿宋" w:hAnsi="仿宋" w:eastAsia="仿宋"/>
          <w:color w:val="auto"/>
          <w:sz w:val="32"/>
          <w:szCs w:val="32"/>
        </w:rPr>
      </w:pPr>
      <w:r>
        <w:rPr>
          <w:rFonts w:ascii="仿宋" w:hAnsi="仿宋" w:eastAsia="仿宋"/>
          <w:color w:val="auto"/>
          <w:sz w:val="32"/>
          <w:szCs w:val="32"/>
        </w:rPr>
        <w:t>学院成立推免生遴选工作小组，具体负责学院推免工作。</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组  长：闫德忠  吕家珑  </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副组长：王  健  王旭东  田长河  </w:t>
      </w:r>
    </w:p>
    <w:p>
      <w:pPr>
        <w:ind w:firstLineChars="200"/>
        <w:jc w:val="both"/>
        <w:rPr>
          <w:rFonts w:ascii="仿宋" w:hAnsi="仿宋" w:eastAsia="仿宋"/>
          <w:color w:val="auto"/>
          <w:sz w:val="32"/>
          <w:szCs w:val="32"/>
        </w:rPr>
      </w:pPr>
      <w:r>
        <w:rPr>
          <w:rFonts w:ascii="仿宋" w:hAnsi="仿宋" w:eastAsia="仿宋"/>
          <w:color w:val="auto"/>
          <w:sz w:val="32"/>
          <w:szCs w:val="32"/>
        </w:rPr>
        <w:t>成  员：李  志  任武刚  王朝辉  王进鑫  耿增超</w:t>
      </w:r>
    </w:p>
    <w:p>
      <w:pPr>
        <w:ind w:firstLine="1920" w:firstLineChars="600"/>
        <w:jc w:val="both"/>
        <w:rPr>
          <w:rFonts w:hint="eastAsia" w:ascii="仿宋" w:hAnsi="仿宋" w:eastAsia="仿宋"/>
          <w:color w:val="auto"/>
          <w:sz w:val="32"/>
          <w:szCs w:val="32"/>
          <w:lang w:val="en-US" w:eastAsia="zh-CN"/>
        </w:rPr>
      </w:pPr>
      <w:r>
        <w:rPr>
          <w:rFonts w:ascii="仿宋" w:hAnsi="仿宋" w:eastAsia="仿宋"/>
          <w:color w:val="auto"/>
          <w:sz w:val="32"/>
          <w:szCs w:val="32"/>
        </w:rPr>
        <w:t>梁东丽  刘梦云  李  平  吴小平  李景林</w:t>
      </w:r>
      <w:r>
        <w:rPr>
          <w:rFonts w:hint="eastAsia" w:ascii="仿宋" w:hAnsi="仿宋" w:eastAsia="仿宋"/>
          <w:color w:val="auto"/>
          <w:sz w:val="32"/>
          <w:szCs w:val="32"/>
          <w:lang w:val="en-US" w:eastAsia="zh-CN"/>
        </w:rPr>
        <w:t xml:space="preserve"> </w:t>
      </w:r>
    </w:p>
    <w:p>
      <w:pPr>
        <w:ind w:firstLine="1920" w:firstLineChars="600"/>
        <w:jc w:val="both"/>
        <w:rPr>
          <w:rFonts w:ascii="仿宋" w:hAnsi="仿宋" w:eastAsia="仿宋"/>
          <w:color w:val="auto"/>
          <w:sz w:val="32"/>
          <w:szCs w:val="32"/>
        </w:rPr>
      </w:pPr>
      <w:r>
        <w:rPr>
          <w:rFonts w:ascii="仿宋" w:hAnsi="仿宋" w:eastAsia="仿宋"/>
          <w:color w:val="auto"/>
          <w:sz w:val="32"/>
          <w:szCs w:val="32"/>
        </w:rPr>
        <w:t xml:space="preserve">杨岩荣  严小良  和红燕  </w:t>
      </w:r>
      <w:r>
        <w:rPr>
          <w:rFonts w:hint="eastAsia" w:ascii="仿宋" w:hAnsi="仿宋" w:eastAsia="仿宋"/>
          <w:color w:val="auto"/>
          <w:sz w:val="32"/>
          <w:szCs w:val="32"/>
          <w:lang w:val="en-US" w:eastAsia="zh-CN"/>
        </w:rPr>
        <w:t xml:space="preserve">李玉平  </w:t>
      </w:r>
      <w:r>
        <w:rPr>
          <w:rFonts w:ascii="仿宋" w:hAnsi="仿宋" w:eastAsia="仿宋"/>
          <w:color w:val="auto"/>
          <w:sz w:val="32"/>
          <w:szCs w:val="32"/>
        </w:rPr>
        <w:t>赵倩茹</w:t>
      </w:r>
    </w:p>
    <w:p>
      <w:pPr>
        <w:ind w:firstLine="1920" w:firstLineChars="600"/>
        <w:jc w:val="both"/>
        <w:rPr>
          <w:rFonts w:ascii="仿宋" w:hAnsi="仿宋" w:eastAsia="仿宋"/>
          <w:color w:val="auto"/>
          <w:sz w:val="32"/>
          <w:szCs w:val="32"/>
        </w:rPr>
      </w:pPr>
      <w:r>
        <w:rPr>
          <w:rFonts w:ascii="仿宋" w:hAnsi="仿宋" w:eastAsia="仿宋"/>
          <w:color w:val="auto"/>
          <w:sz w:val="32"/>
          <w:szCs w:val="32"/>
        </w:rPr>
        <w:t>刘庆麟</w:t>
      </w:r>
      <w:r>
        <w:rPr>
          <w:rFonts w:hint="eastAsia" w:ascii="仿宋" w:hAnsi="仿宋" w:eastAsia="仿宋"/>
          <w:color w:val="auto"/>
          <w:sz w:val="32"/>
          <w:szCs w:val="32"/>
          <w:lang w:val="en-US" w:eastAsia="zh-CN"/>
        </w:rPr>
        <w:t xml:space="preserve">  </w:t>
      </w:r>
      <w:r>
        <w:rPr>
          <w:rFonts w:ascii="仿宋" w:hAnsi="仿宋" w:eastAsia="仿宋"/>
          <w:color w:val="auto"/>
          <w:sz w:val="32"/>
          <w:szCs w:val="32"/>
        </w:rPr>
        <w:t>王琦俐</w:t>
      </w:r>
    </w:p>
    <w:p>
      <w:pPr>
        <w:ind w:firstLineChars="200"/>
        <w:jc w:val="both"/>
        <w:rPr>
          <w:rFonts w:ascii="仿宋" w:hAnsi="仿宋" w:eastAsia="仿宋"/>
          <w:color w:val="auto"/>
          <w:sz w:val="32"/>
          <w:szCs w:val="32"/>
        </w:rPr>
      </w:pPr>
      <w:r>
        <w:rPr>
          <w:rFonts w:ascii="仿宋" w:hAnsi="仿宋" w:eastAsia="仿宋"/>
          <w:b/>
          <w:bCs/>
          <w:color w:val="auto"/>
          <w:sz w:val="32"/>
          <w:szCs w:val="32"/>
        </w:rPr>
        <w:t>二、遴选条件</w:t>
      </w:r>
    </w:p>
    <w:p>
      <w:pPr>
        <w:ind w:firstLineChars="200"/>
        <w:jc w:val="both"/>
        <w:rPr>
          <w:rFonts w:ascii="仿宋" w:hAnsi="仿宋" w:eastAsia="仿宋"/>
          <w:color w:val="auto"/>
          <w:sz w:val="32"/>
          <w:szCs w:val="32"/>
        </w:rPr>
      </w:pPr>
      <w:r>
        <w:rPr>
          <w:rFonts w:ascii="仿宋" w:hAnsi="仿宋" w:eastAsia="仿宋"/>
          <w:color w:val="auto"/>
          <w:sz w:val="32"/>
          <w:szCs w:val="32"/>
        </w:rPr>
        <w:t>推免生遴选基本条件如下：</w:t>
      </w:r>
    </w:p>
    <w:p>
      <w:pPr>
        <w:ind w:firstLineChars="200"/>
        <w:jc w:val="both"/>
        <w:rPr>
          <w:rFonts w:ascii="仿宋" w:hAnsi="仿宋" w:eastAsia="仿宋"/>
          <w:color w:val="auto"/>
          <w:sz w:val="32"/>
          <w:szCs w:val="32"/>
        </w:rPr>
      </w:pPr>
      <w:r>
        <w:rPr>
          <w:rFonts w:ascii="仿宋" w:hAnsi="仿宋" w:eastAsia="仿宋"/>
          <w:color w:val="auto"/>
          <w:sz w:val="32"/>
          <w:szCs w:val="32"/>
        </w:rPr>
        <w:t>（一）拥护中国共产党的领导和社会主义制度，具有高尚的爱国主义情操和集体主义精神，社会责任感强，遵纪守法，积极向上，身心健康；</w:t>
      </w:r>
    </w:p>
    <w:p>
      <w:pPr>
        <w:ind w:firstLineChars="200"/>
        <w:jc w:val="both"/>
        <w:rPr>
          <w:rFonts w:ascii="仿宋" w:hAnsi="仿宋" w:eastAsia="仿宋"/>
          <w:color w:val="auto"/>
          <w:sz w:val="32"/>
          <w:szCs w:val="32"/>
        </w:rPr>
      </w:pPr>
      <w:r>
        <w:rPr>
          <w:rFonts w:ascii="仿宋" w:hAnsi="仿宋" w:eastAsia="仿宋"/>
          <w:color w:val="auto"/>
          <w:sz w:val="32"/>
          <w:szCs w:val="32"/>
        </w:rPr>
        <w:t>（二）诚实守信，学风端正，品行优良，无考试作弊或剽窃他人学术成果等学术不端行为；</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（三）获得本科前三学年应修课程全部学分，且课程学分成绩排名在专业年级前50%； </w:t>
      </w:r>
    </w:p>
    <w:p>
      <w:pPr>
        <w:ind w:firstLineChars="200"/>
        <w:jc w:val="both"/>
        <w:rPr>
          <w:rFonts w:ascii="仿宋" w:hAnsi="仿宋" w:eastAsia="仿宋"/>
          <w:color w:val="auto"/>
          <w:sz w:val="32"/>
          <w:szCs w:val="32"/>
        </w:rPr>
      </w:pPr>
      <w:r>
        <w:rPr>
          <w:rFonts w:ascii="仿宋" w:hAnsi="仿宋" w:eastAsia="仿宋"/>
          <w:color w:val="auto"/>
          <w:sz w:val="32"/>
          <w:szCs w:val="32"/>
        </w:rPr>
        <w:t>（四）外语成绩：非英语专业学生的全国英语四级考试成绩在425分及以上或外语小语种四级成绩在60分及以上；</w:t>
      </w:r>
    </w:p>
    <w:p>
      <w:pPr>
        <w:ind w:firstLineChars="200"/>
        <w:jc w:val="both"/>
        <w:rPr>
          <w:rFonts w:ascii="仿宋" w:hAnsi="仿宋" w:eastAsia="仿宋"/>
          <w:color w:val="auto"/>
          <w:sz w:val="32"/>
          <w:szCs w:val="32"/>
        </w:rPr>
      </w:pPr>
      <w:r>
        <w:rPr>
          <w:rFonts w:ascii="仿宋" w:hAnsi="仿宋" w:eastAsia="仿宋"/>
          <w:color w:val="auto"/>
          <w:sz w:val="32"/>
          <w:szCs w:val="32"/>
        </w:rPr>
        <w:t>（五）具有从事科学研究志向，具有较强的创新意识、创新潜质和创新能力，且符合各遴选单位科研潜质考核要求。</w:t>
      </w:r>
    </w:p>
    <w:p>
      <w:pPr>
        <w:ind w:firstLineChars="200"/>
        <w:jc w:val="both"/>
        <w:rPr>
          <w:rFonts w:ascii="仿宋" w:hAnsi="仿宋" w:eastAsia="仿宋"/>
          <w:color w:val="auto"/>
          <w:sz w:val="32"/>
          <w:szCs w:val="32"/>
        </w:rPr>
      </w:pPr>
      <w:r>
        <w:rPr>
          <w:rFonts w:ascii="仿宋" w:hAnsi="仿宋" w:eastAsia="仿宋"/>
          <w:b/>
          <w:bCs/>
          <w:color w:val="auto"/>
          <w:sz w:val="32"/>
          <w:szCs w:val="32"/>
        </w:rPr>
        <w:t>三、工作程序</w:t>
      </w:r>
    </w:p>
    <w:p>
      <w:pPr>
        <w:ind w:firstLineChars="200"/>
        <w:jc w:val="both"/>
        <w:rPr>
          <w:rFonts w:ascii="仿宋" w:hAnsi="仿宋" w:eastAsia="仿宋"/>
          <w:color w:val="auto"/>
          <w:sz w:val="32"/>
          <w:szCs w:val="32"/>
        </w:rPr>
      </w:pPr>
      <w:r>
        <w:rPr>
          <w:rFonts w:ascii="仿宋" w:hAnsi="仿宋" w:eastAsia="仿宋"/>
          <w:b/>
          <w:bCs/>
          <w:color w:val="auto"/>
          <w:sz w:val="32"/>
          <w:szCs w:val="32"/>
        </w:rPr>
        <w:t>（一）公布学院推免工作实施细则。</w:t>
      </w:r>
      <w:r>
        <w:rPr>
          <w:rFonts w:ascii="仿宋" w:hAnsi="仿宋" w:eastAsia="仿宋"/>
          <w:color w:val="auto"/>
          <w:sz w:val="32"/>
          <w:szCs w:val="32"/>
        </w:rPr>
        <w:t>推免生遴选工作小组应根据学校推免政策，结合学院实际制定推免工作实施细则并公布。推免工作实施细则经公示且无异议，报研究生院审核、备案。</w:t>
      </w:r>
    </w:p>
    <w:p>
      <w:pPr>
        <w:ind w:firstLineChars="200"/>
        <w:jc w:val="both"/>
        <w:rPr>
          <w:rFonts w:ascii="仿宋" w:hAnsi="仿宋" w:eastAsia="仿宋"/>
          <w:color w:val="auto"/>
          <w:sz w:val="32"/>
          <w:szCs w:val="32"/>
        </w:rPr>
      </w:pPr>
      <w:r>
        <w:rPr>
          <w:rFonts w:ascii="仿宋" w:hAnsi="仿宋" w:eastAsia="仿宋"/>
          <w:b/>
          <w:bCs/>
          <w:color w:val="auto"/>
          <w:sz w:val="32"/>
          <w:szCs w:val="32"/>
        </w:rPr>
        <w:t>（二）个人申请。</w:t>
      </w:r>
      <w:r>
        <w:rPr>
          <w:rFonts w:ascii="仿宋" w:hAnsi="仿宋" w:eastAsia="仿宋"/>
          <w:color w:val="auto"/>
          <w:sz w:val="32"/>
          <w:szCs w:val="32"/>
        </w:rPr>
        <w:t>学院根据推免工作实施细则，按程序和标准确定符合遴选条件学生名单，经公示且无异议的入选学生向学院提交申请材料；</w:t>
      </w:r>
    </w:p>
    <w:p>
      <w:pPr>
        <w:ind w:firstLineChars="200"/>
        <w:jc w:val="both"/>
        <w:rPr>
          <w:rFonts w:ascii="仿宋" w:hAnsi="仿宋" w:eastAsia="仿宋"/>
          <w:color w:val="auto"/>
          <w:sz w:val="32"/>
          <w:szCs w:val="32"/>
        </w:rPr>
      </w:pPr>
      <w:r>
        <w:rPr>
          <w:rFonts w:ascii="仿宋" w:hAnsi="仿宋" w:eastAsia="仿宋"/>
          <w:b/>
          <w:bCs/>
          <w:color w:val="auto"/>
          <w:sz w:val="32"/>
          <w:szCs w:val="32"/>
        </w:rPr>
        <w:t>（三）学院审核。</w:t>
      </w:r>
      <w:r>
        <w:rPr>
          <w:rFonts w:ascii="仿宋" w:hAnsi="仿宋" w:eastAsia="仿宋"/>
          <w:color w:val="auto"/>
          <w:sz w:val="32"/>
          <w:szCs w:val="32"/>
        </w:rPr>
        <w:t>学院推免生遴选工作小组对申请者的相关材料进行审核，根据本实施细则对所有申请推免的学生进行综合考核成绩评定，进行初步排序后，在学院网站公示遴选出的推免生名单（含姓名、专业、综合考核成绩等），公示期为3个工作日。公示期间名单不得修改，名单如有变动，需对变动部分做出说明，并对变动内容另行公示3个工作日。</w:t>
      </w:r>
    </w:p>
    <w:p>
      <w:pPr>
        <w:ind w:firstLineChars="200"/>
        <w:jc w:val="both"/>
        <w:rPr>
          <w:rFonts w:ascii="仿宋" w:hAnsi="仿宋" w:eastAsia="仿宋"/>
          <w:color w:val="auto"/>
          <w:sz w:val="32"/>
          <w:szCs w:val="32"/>
        </w:rPr>
      </w:pPr>
      <w:r>
        <w:rPr>
          <w:rFonts w:ascii="仿宋" w:hAnsi="仿宋" w:eastAsia="仿宋"/>
          <w:b/>
          <w:bCs/>
          <w:color w:val="auto"/>
          <w:sz w:val="32"/>
          <w:szCs w:val="32"/>
        </w:rPr>
        <w:t>（四）学校复审、公示。</w:t>
      </w:r>
      <w:r>
        <w:rPr>
          <w:rFonts w:ascii="仿宋" w:hAnsi="仿宋" w:eastAsia="仿宋"/>
          <w:color w:val="auto"/>
          <w:sz w:val="32"/>
          <w:szCs w:val="32"/>
        </w:rPr>
        <w:t>学院将经过公示的名单报研究生院，研究生院将推免生名单交教务处、学生处复审，确认无误、无异议后，研究生院将推免生名单提交学校推免生遴选工作领导小组审核，通过后名单公示不少于10个工作日。</w:t>
      </w:r>
    </w:p>
    <w:p>
      <w:pPr>
        <w:ind w:firstLineChars="200"/>
        <w:jc w:val="both"/>
        <w:rPr>
          <w:rFonts w:ascii="仿宋" w:hAnsi="仿宋" w:eastAsia="仿宋"/>
          <w:color w:val="auto"/>
          <w:sz w:val="32"/>
          <w:szCs w:val="32"/>
        </w:rPr>
      </w:pPr>
      <w:r>
        <w:rPr>
          <w:rFonts w:ascii="仿宋" w:hAnsi="仿宋" w:eastAsia="仿宋"/>
          <w:b/>
          <w:bCs/>
          <w:color w:val="auto"/>
          <w:sz w:val="32"/>
          <w:szCs w:val="32"/>
        </w:rPr>
        <w:t>（五）名单上报。</w:t>
      </w:r>
      <w:r>
        <w:rPr>
          <w:rFonts w:ascii="仿宋" w:hAnsi="仿宋" w:eastAsia="仿宋"/>
          <w:color w:val="auto"/>
          <w:sz w:val="32"/>
          <w:szCs w:val="32"/>
        </w:rPr>
        <w:t>研究生院会同教务处统一上报“推荐资格名单。</w:t>
      </w:r>
    </w:p>
    <w:p>
      <w:pPr>
        <w:ind w:firstLineChars="200"/>
        <w:jc w:val="both"/>
        <w:rPr>
          <w:rFonts w:ascii="仿宋" w:hAnsi="仿宋" w:eastAsia="仿宋"/>
          <w:color w:val="auto"/>
          <w:sz w:val="32"/>
          <w:szCs w:val="32"/>
        </w:rPr>
      </w:pPr>
      <w:r>
        <w:rPr>
          <w:rFonts w:ascii="仿宋" w:hAnsi="仿宋" w:eastAsia="仿宋"/>
          <w:b/>
          <w:bCs/>
          <w:color w:val="auto"/>
          <w:sz w:val="32"/>
          <w:szCs w:val="32"/>
        </w:rPr>
        <w:t>四、推荐生综合考核成绩评定办法</w:t>
      </w:r>
    </w:p>
    <w:p>
      <w:pPr>
        <w:ind w:firstLineChars="200"/>
        <w:jc w:val="both"/>
        <w:rPr>
          <w:rFonts w:ascii="仿宋" w:hAnsi="仿宋" w:eastAsia="仿宋"/>
          <w:color w:val="auto"/>
          <w:sz w:val="32"/>
          <w:szCs w:val="32"/>
        </w:rPr>
      </w:pPr>
      <w:r>
        <w:rPr>
          <w:rFonts w:ascii="仿宋" w:hAnsi="仿宋" w:eastAsia="仿宋"/>
          <w:color w:val="auto"/>
          <w:sz w:val="32"/>
          <w:szCs w:val="32"/>
        </w:rPr>
        <w:t>符合推荐条件且申请推荐资格的学生，学院从思想政治品德、学业成绩、科研潜质三个方面进行综合考核，考核总成绩满分为100分，其中思想政治品德考核成绩占总成绩的10%、学业成绩占总成绩的40%、科研潜质考核成绩占总成绩的50%。申请者根据综合考核成绩评定，在各专业范围内从高到低依次排序确定推免资格；如有放弃者，依次递补；如遇综合考核成绩相同者，依次依据面试考核和外语水平考核成绩进行排序。</w:t>
      </w:r>
    </w:p>
    <w:p>
      <w:pPr>
        <w:ind w:firstLineChars="200"/>
        <w:jc w:val="both"/>
        <w:rPr>
          <w:rFonts w:ascii="仿宋" w:hAnsi="仿宋" w:eastAsia="仿宋"/>
          <w:color w:val="auto"/>
          <w:sz w:val="32"/>
          <w:szCs w:val="32"/>
        </w:rPr>
      </w:pPr>
      <w:r>
        <w:rPr>
          <w:rFonts w:ascii="仿宋" w:hAnsi="仿宋" w:eastAsia="仿宋"/>
          <w:color w:val="auto"/>
          <w:sz w:val="32"/>
          <w:szCs w:val="32"/>
        </w:rPr>
        <w:t>总成绩的计算公式如下：</w:t>
      </w:r>
    </w:p>
    <w:p>
      <w:pPr>
        <w:ind w:firstLineChars="200"/>
        <w:jc w:val="both"/>
        <w:rPr>
          <w:rFonts w:ascii="仿宋" w:hAnsi="仿宋" w:eastAsia="仿宋"/>
          <w:color w:val="auto"/>
          <w:sz w:val="32"/>
          <w:szCs w:val="32"/>
        </w:rPr>
      </w:pPr>
      <w:r>
        <w:rPr>
          <w:rFonts w:ascii="仿宋" w:hAnsi="仿宋" w:eastAsia="仿宋"/>
          <w:color w:val="auto"/>
          <w:sz w:val="32"/>
          <w:szCs w:val="32"/>
        </w:rPr>
        <w:t>Z=0.1A+0.4B+0.5C</w:t>
      </w:r>
    </w:p>
    <w:p>
      <w:pPr>
        <w:ind w:firstLineChars="200"/>
        <w:jc w:val="both"/>
        <w:rPr>
          <w:rFonts w:ascii="仿宋" w:hAnsi="仿宋" w:eastAsia="仿宋"/>
          <w:color w:val="auto"/>
          <w:sz w:val="32"/>
          <w:szCs w:val="32"/>
        </w:rPr>
      </w:pPr>
      <w:r>
        <w:rPr>
          <w:rFonts w:ascii="仿宋" w:hAnsi="仿宋" w:eastAsia="仿宋"/>
          <w:color w:val="auto"/>
          <w:sz w:val="32"/>
          <w:szCs w:val="32"/>
        </w:rPr>
        <w:t>公式中：</w:t>
      </w:r>
    </w:p>
    <w:p>
      <w:pPr>
        <w:ind w:firstLineChars="200"/>
        <w:jc w:val="both"/>
        <w:rPr>
          <w:rFonts w:ascii="仿宋" w:hAnsi="仿宋" w:eastAsia="仿宋"/>
          <w:color w:val="auto"/>
          <w:sz w:val="32"/>
          <w:szCs w:val="32"/>
        </w:rPr>
      </w:pPr>
      <w:r>
        <w:rPr>
          <w:rFonts w:ascii="仿宋" w:hAnsi="仿宋" w:eastAsia="仿宋"/>
          <w:color w:val="auto"/>
          <w:sz w:val="32"/>
          <w:szCs w:val="32"/>
        </w:rPr>
        <w:t>Z:总成绩。</w:t>
      </w:r>
    </w:p>
    <w:p>
      <w:pPr>
        <w:ind w:firstLineChars="200"/>
        <w:jc w:val="both"/>
        <w:rPr>
          <w:rFonts w:ascii="仿宋" w:hAnsi="仿宋" w:eastAsia="仿宋"/>
          <w:color w:val="auto"/>
          <w:sz w:val="32"/>
          <w:szCs w:val="32"/>
        </w:rPr>
      </w:pPr>
      <w:r>
        <w:rPr>
          <w:rFonts w:ascii="仿宋" w:hAnsi="仿宋" w:eastAsia="仿宋"/>
          <w:color w:val="auto"/>
          <w:sz w:val="32"/>
          <w:szCs w:val="32"/>
        </w:rPr>
        <w:t>A：思想政治品德考核成绩，满分为100分，由思政课成绩与综合测评德育成绩两部分组成，各占50%。其中，思政课成绩为大学期间所有思政课成绩的加权平均分（满分100分）、综测德育成绩为各学年综合测评德育成绩的算术平均分，核算办法如下：</w:t>
      </w:r>
    </w:p>
    <w:p>
      <w:pPr>
        <w:jc w:val="both"/>
        <w:rPr>
          <w:rFonts w:ascii="仿宋" w:hAnsi="仿宋" w:eastAsia="仿宋"/>
          <w:color w:val="auto"/>
          <w:sz w:val="32"/>
          <w:szCs w:val="32"/>
        </w:rPr>
      </w:pPr>
      <w:r>
        <w:rPr>
          <w:rFonts w:ascii="微软雅黑" w:hAnsi="微软雅黑" w:eastAsia="微软雅黑"/>
          <w:color w:val="auto"/>
          <w:sz w:val="24"/>
          <w:szCs w:val="24"/>
        </w:rPr>
        <w:drawing>
          <wp:inline distT="0" distB="0" distL="0" distR="0">
            <wp:extent cx="5274310" cy="8058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806368"/>
                    </a:xfrm>
                    <a:prstGeom prst="rect">
                      <a:avLst/>
                    </a:prstGeom>
                  </pic:spPr>
                </pic:pic>
              </a:graphicData>
            </a:graphic>
          </wp:inline>
        </w:drawing>
      </w:r>
    </w:p>
    <w:p>
      <w:pPr>
        <w:ind w:firstLineChars="199"/>
        <w:jc w:val="both"/>
        <w:rPr>
          <w:rFonts w:ascii="仿宋" w:hAnsi="仿宋" w:eastAsia="仿宋"/>
          <w:color w:val="auto"/>
          <w:sz w:val="32"/>
          <w:szCs w:val="32"/>
        </w:rPr>
      </w:pPr>
      <w:r>
        <w:rPr>
          <w:rFonts w:ascii="仿宋" w:hAnsi="仿宋" w:eastAsia="仿宋"/>
          <w:color w:val="auto"/>
          <w:sz w:val="32"/>
          <w:szCs w:val="32"/>
        </w:rPr>
        <w:t>B:学业成绩，满分为100分，为学生前三学年应修课程全部学分的平均分，核算办法如下：</w:t>
      </w:r>
    </w:p>
    <w:p>
      <w:pPr>
        <w:ind w:firstLine="960" w:firstLineChars="3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B= </w:t>
      </w:r>
      <w:r>
        <w:drawing>
          <wp:inline distT="0" distB="0" distL="114300" distR="114300">
            <wp:extent cx="2606040" cy="309245"/>
            <wp:effectExtent l="0" t="0" r="381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06040" cy="309245"/>
                    </a:xfrm>
                    <a:prstGeom prst="rect">
                      <a:avLst/>
                    </a:prstGeom>
                    <a:noFill/>
                    <a:ln w="9525">
                      <a:noFill/>
                    </a:ln>
                  </pic:spPr>
                </pic:pic>
              </a:graphicData>
            </a:graphic>
          </wp:inline>
        </w:drawing>
      </w:r>
      <w:bookmarkStart w:id="0" w:name="_GoBack"/>
      <w:bookmarkEnd w:id="0"/>
    </w:p>
    <w:p>
      <w:pPr>
        <w:ind w:left="1" w:firstLineChars="200"/>
        <w:jc w:val="both"/>
        <w:rPr>
          <w:rFonts w:ascii="仿宋" w:hAnsi="仿宋" w:eastAsia="仿宋"/>
          <w:color w:val="auto"/>
          <w:sz w:val="32"/>
          <w:szCs w:val="32"/>
        </w:rPr>
      </w:pPr>
      <w:r>
        <w:rPr>
          <w:rFonts w:ascii="仿宋" w:hAnsi="仿宋" w:eastAsia="仿宋"/>
          <w:color w:val="auto"/>
          <w:sz w:val="32"/>
          <w:szCs w:val="32"/>
        </w:rPr>
        <w:t>C：科研潜质考核成绩，满分为100分，由外语水平考核、创新能力考核和面试考核三部分组成。其中外语水平考核占20%，创新能力考核占30%，面试考核占50%。</w:t>
      </w:r>
    </w:p>
    <w:p>
      <w:pPr>
        <w:ind w:left="1" w:firstLineChars="200"/>
        <w:jc w:val="both"/>
        <w:rPr>
          <w:rFonts w:ascii="仿宋" w:hAnsi="仿宋" w:eastAsia="仿宋"/>
          <w:color w:val="auto"/>
          <w:sz w:val="32"/>
          <w:szCs w:val="32"/>
        </w:rPr>
      </w:pPr>
      <w:r>
        <w:rPr>
          <w:rFonts w:ascii="仿宋" w:hAnsi="仿宋" w:eastAsia="仿宋"/>
          <w:color w:val="auto"/>
          <w:sz w:val="32"/>
          <w:szCs w:val="32"/>
        </w:rPr>
        <w:t>C=外语水平成绩×20%+创新能力成绩×30%+面试成绩×50%。</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（一）外语水平成绩核算标准</w:t>
      </w:r>
    </w:p>
    <w:p>
      <w:pPr>
        <w:ind w:firstLine="562"/>
        <w:jc w:val="both"/>
        <w:rPr>
          <w:rFonts w:ascii="仿宋" w:hAnsi="仿宋" w:eastAsia="仿宋"/>
          <w:color w:val="auto"/>
          <w:sz w:val="32"/>
          <w:szCs w:val="32"/>
        </w:rPr>
      </w:pPr>
      <w:r>
        <w:rPr>
          <w:rFonts w:ascii="仿宋" w:hAnsi="仿宋" w:eastAsia="仿宋"/>
          <w:color w:val="auto"/>
          <w:sz w:val="32"/>
          <w:szCs w:val="32"/>
        </w:rPr>
        <w:t>通过CET-4得60分，通过CET-6得80分，IELTS、TOEFL、GRE、GMAT等考试成绩</w:t>
      </w:r>
      <w:r>
        <w:rPr>
          <w:rFonts w:ascii="仿宋" w:hAnsi="仿宋" w:eastAsia="仿宋"/>
          <w:b w:val="0"/>
          <w:bCs w:val="0"/>
          <w:color w:val="auto"/>
          <w:sz w:val="32"/>
          <w:szCs w:val="32"/>
        </w:rPr>
        <w:t>（按照国际交流处报销规定执行）</w:t>
      </w:r>
      <w:r>
        <w:rPr>
          <w:rFonts w:ascii="仿宋" w:hAnsi="仿宋" w:eastAsia="仿宋"/>
          <w:color w:val="auto"/>
          <w:sz w:val="32"/>
          <w:szCs w:val="32"/>
        </w:rPr>
        <w:t>得100分。外语等级评定分值不累加，只取最高得分。</w:t>
      </w:r>
    </w:p>
    <w:p>
      <w:pPr>
        <w:ind w:firstLineChars="200"/>
        <w:jc w:val="both"/>
        <w:rPr>
          <w:rFonts w:ascii="仿宋" w:hAnsi="仿宋" w:eastAsia="仿宋"/>
          <w:b/>
          <w:bCs/>
          <w:color w:val="auto"/>
          <w:sz w:val="32"/>
          <w:szCs w:val="32"/>
        </w:rPr>
      </w:pPr>
      <w:r>
        <w:rPr>
          <w:rFonts w:ascii="仿宋" w:hAnsi="仿宋" w:eastAsia="仿宋"/>
          <w:b/>
          <w:bCs/>
          <w:color w:val="auto"/>
          <w:sz w:val="32"/>
          <w:szCs w:val="32"/>
        </w:rPr>
        <w:t>（二）创新能力成绩核算标准</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创新能力考包括发表学术论文、获批发明专利、学科竞赛获奖、大学生创新创业训练项目完成情况、参与社会实践情况五部分。具体计分方法如下，若创新能力评定得分累计超过100分，则按照100分计算。</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1.发表学术论文</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截止到该年度9月10日，申请者在各类专业学术期刊上发表学术论文，按照以下标准获得相应分值：</w:t>
      </w:r>
    </w:p>
    <w:tbl>
      <w:tblPr>
        <w:tblStyle w:val="6"/>
        <w:tblW w:w="9165" w:type="dxa"/>
        <w:tblInd w:w="0" w:type="dxa"/>
        <w:tblLayout w:type="fixed"/>
        <w:tblCellMar>
          <w:top w:w="0" w:type="dxa"/>
          <w:left w:w="108" w:type="dxa"/>
          <w:bottom w:w="0" w:type="dxa"/>
          <w:right w:w="108" w:type="dxa"/>
        </w:tblCellMar>
      </w:tblPr>
      <w:tblGrid>
        <w:gridCol w:w="3345"/>
        <w:gridCol w:w="2115"/>
        <w:gridCol w:w="3705"/>
      </w:tblGrid>
      <w:tr>
        <w:tblPrEx>
          <w:tblLayout w:type="fixed"/>
          <w:tblCellMar>
            <w:top w:w="0" w:type="dxa"/>
            <w:left w:w="108" w:type="dxa"/>
            <w:bottom w:w="0" w:type="dxa"/>
            <w:right w:w="108" w:type="dxa"/>
          </w:tblCellMar>
        </w:tblPrEx>
        <w:trPr>
          <w:trHeight w:val="645"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发表刊物</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
（第一作者）</w:t>
            </w:r>
          </w:p>
        </w:tc>
        <w:tc>
          <w:tcPr>
            <w:tcW w:w="37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备注</w:t>
            </w:r>
          </w:p>
        </w:tc>
      </w:tr>
      <w:tr>
        <w:tblPrEx>
          <w:tblLayout w:type="fixed"/>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SCI或SSCI收录论文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3705" w:type="dxa"/>
            <w:vMerge w:val="restart"/>
            <w:tcBorders>
              <w:top w:val="single" w:color="000000" w:sz="8" w:space="0"/>
              <w:left w:val="single" w:color="000000" w:sz="8" w:space="0"/>
              <w:bottom w:val="single" w:color="000000" w:sz="8" w:space="0"/>
              <w:right w:val="single" w:color="000000" w:sz="8" w:space="0"/>
            </w:tcBorders>
            <w:vAlign w:val="center"/>
          </w:tcPr>
          <w:p>
            <w:pPr>
              <w:jc w:val="left"/>
              <w:rPr>
                <w:color w:val="auto"/>
              </w:rPr>
            </w:pPr>
            <w:r>
              <w:rPr>
                <w:rFonts w:hint="eastAsia" w:ascii="微软雅黑" w:hAnsi="微软雅黑" w:eastAsia="微软雅黑"/>
                <w:color w:val="auto"/>
                <w:sz w:val="24"/>
                <w:szCs w:val="24"/>
              </w:rPr>
              <w:t>除第一作者外，SCI、SSCI、EI、CSSCI收录论文作者排名5分顺次递减；其余论文作者排名4分顺次递减；只加分前3名。</w:t>
            </w: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EI收录论文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15</w:t>
            </w:r>
          </w:p>
        </w:tc>
        <w:tc>
          <w:tcPr>
            <w:tcW w:w="3705" w:type="dxa"/>
            <w:vMerge w:val="continue"/>
            <w:tcBorders>
              <w:top w:val="single" w:color="000000" w:sz="8" w:space="0"/>
              <w:left w:val="single" w:color="000000" w:sz="8" w:space="0"/>
              <w:bottom w:val="single" w:color="000000" w:sz="8" w:space="0"/>
              <w:right w:val="single" w:color="000000" w:sz="8" w:space="0"/>
            </w:tcBorders>
            <w:vAlign w:val="top"/>
          </w:tcPr>
          <w:p>
            <w:pPr>
              <w:jc w:val="left"/>
              <w:rPr>
                <w:color w:val="auto"/>
              </w:rPr>
            </w:pP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CSSCI收录论文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12</w:t>
            </w:r>
          </w:p>
        </w:tc>
        <w:tc>
          <w:tcPr>
            <w:tcW w:w="3705" w:type="dxa"/>
            <w:vMerge w:val="continue"/>
            <w:tcBorders>
              <w:top w:val="single" w:color="000000" w:sz="8" w:space="0"/>
              <w:left w:val="single" w:color="000000" w:sz="8" w:space="0"/>
              <w:bottom w:val="single" w:color="000000" w:sz="8" w:space="0"/>
              <w:right w:val="single" w:color="000000" w:sz="8" w:space="0"/>
            </w:tcBorders>
            <w:vAlign w:val="top"/>
          </w:tcPr>
          <w:p>
            <w:pPr>
              <w:jc w:val="left"/>
              <w:rPr>
                <w:color w:val="auto"/>
              </w:rPr>
            </w:pP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中文核心期刊</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3705" w:type="dxa"/>
            <w:vMerge w:val="continue"/>
            <w:tcBorders>
              <w:top w:val="single" w:color="000000" w:sz="8" w:space="0"/>
              <w:left w:val="single" w:color="000000" w:sz="8" w:space="0"/>
              <w:bottom w:val="single" w:color="000000" w:sz="8" w:space="0"/>
              <w:right w:val="single" w:color="000000" w:sz="8" w:space="0"/>
            </w:tcBorders>
            <w:vAlign w:val="top"/>
          </w:tcPr>
          <w:p>
            <w:pPr>
              <w:jc w:val="left"/>
              <w:rPr>
                <w:color w:val="auto"/>
              </w:rPr>
            </w:pP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其他公开出版期刊</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c>
          <w:tcPr>
            <w:tcW w:w="3705" w:type="dxa"/>
            <w:vMerge w:val="continue"/>
            <w:tcBorders>
              <w:top w:val="single" w:color="000000" w:sz="8" w:space="0"/>
              <w:left w:val="single" w:color="000000" w:sz="8" w:space="0"/>
              <w:bottom w:val="single" w:color="000000" w:sz="8" w:space="0"/>
              <w:right w:val="single" w:color="000000" w:sz="8" w:space="0"/>
            </w:tcBorders>
            <w:vAlign w:val="top"/>
          </w:tcPr>
          <w:p>
            <w:pPr>
              <w:jc w:val="left"/>
              <w:rPr>
                <w:color w:val="auto"/>
              </w:rPr>
            </w:pPr>
          </w:p>
        </w:tc>
      </w:tr>
    </w:tbl>
    <w:p>
      <w:pPr>
        <w:pStyle w:val="4"/>
        <w:spacing w:before="0" w:after="0"/>
        <w:ind w:firstLineChars="200"/>
        <w:jc w:val="left"/>
        <w:rPr>
          <w:rFonts w:ascii="仿宋" w:hAnsi="仿宋" w:eastAsia="仿宋"/>
          <w:b w:val="0"/>
          <w:bCs w:val="0"/>
          <w:color w:val="auto"/>
          <w:sz w:val="21"/>
          <w:szCs w:val="21"/>
        </w:rPr>
      </w:pPr>
      <w:r>
        <w:rPr>
          <w:rFonts w:ascii="仿宋" w:hAnsi="仿宋" w:eastAsia="仿宋"/>
          <w:b w:val="0"/>
          <w:bCs w:val="0"/>
          <w:color w:val="auto"/>
          <w:sz w:val="21"/>
          <w:szCs w:val="21"/>
        </w:rPr>
        <w:t>注：1.以上论文需学生本人为第一作者或参加者，西北农林科技大学为第一完成单位；</w:t>
      </w:r>
    </w:p>
    <w:p>
      <w:pPr>
        <w:pStyle w:val="4"/>
        <w:spacing w:before="0" w:after="0"/>
        <w:ind w:firstLine="840" w:firstLineChars="400"/>
        <w:jc w:val="left"/>
        <w:rPr>
          <w:rFonts w:ascii="仿宋" w:hAnsi="仿宋" w:eastAsia="仿宋"/>
          <w:b w:val="0"/>
          <w:bCs w:val="0"/>
          <w:color w:val="auto"/>
          <w:sz w:val="21"/>
          <w:szCs w:val="21"/>
        </w:rPr>
      </w:pPr>
      <w:r>
        <w:rPr>
          <w:rFonts w:ascii="仿宋" w:hAnsi="仿宋" w:eastAsia="仿宋"/>
          <w:b w:val="0"/>
          <w:bCs w:val="0"/>
          <w:color w:val="auto"/>
          <w:sz w:val="21"/>
          <w:szCs w:val="21"/>
        </w:rPr>
        <w:t>2.中文论文需提供期刊封面、目录和文章首页，SCI、SSCI、EI、CSSCI收录论文需提供收录证明（或网络检索证明）和文章首页。</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2.获批发明专利</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截止到该年度9月10日，申请者获得发明专利，按照以下标准获得相应分值：</w:t>
      </w:r>
    </w:p>
    <w:tbl>
      <w:tblPr>
        <w:tblStyle w:val="6"/>
        <w:tblW w:w="9165" w:type="dxa"/>
        <w:tblInd w:w="0" w:type="dxa"/>
        <w:tblLayout w:type="fixed"/>
        <w:tblCellMar>
          <w:top w:w="0" w:type="dxa"/>
          <w:left w:w="108" w:type="dxa"/>
          <w:bottom w:w="0" w:type="dxa"/>
          <w:right w:w="108" w:type="dxa"/>
        </w:tblCellMar>
      </w:tblPr>
      <w:tblGrid>
        <w:gridCol w:w="3345"/>
        <w:gridCol w:w="2130"/>
        <w:gridCol w:w="3690"/>
      </w:tblGrid>
      <w:tr>
        <w:tblPrEx>
          <w:tblLayout w:type="fixed"/>
          <w:tblCellMar>
            <w:top w:w="0" w:type="dxa"/>
            <w:left w:w="108" w:type="dxa"/>
            <w:bottom w:w="0" w:type="dxa"/>
            <w:right w:w="108" w:type="dxa"/>
          </w:tblCellMar>
        </w:tblPrEx>
        <w:trPr>
          <w:trHeight w:val="645"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专利类别</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
（第一完成人）</w:t>
            </w:r>
          </w:p>
        </w:tc>
        <w:tc>
          <w:tcPr>
            <w:tcW w:w="36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备注</w:t>
            </w: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发明专利</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3690" w:type="dxa"/>
            <w:vMerge w:val="restart"/>
            <w:tcBorders>
              <w:top w:val="single" w:color="000000" w:sz="8" w:space="0"/>
              <w:left w:val="single" w:color="000000" w:sz="8" w:space="0"/>
              <w:bottom w:val="single" w:color="000000" w:sz="8" w:space="0"/>
              <w:right w:val="single" w:color="000000" w:sz="8" w:space="0"/>
            </w:tcBorders>
            <w:vAlign w:val="center"/>
          </w:tcPr>
          <w:p>
            <w:pPr>
              <w:jc w:val="left"/>
              <w:rPr>
                <w:color w:val="auto"/>
              </w:rPr>
            </w:pPr>
            <w:r>
              <w:rPr>
                <w:rFonts w:hint="eastAsia" w:ascii="微软雅黑" w:hAnsi="微软雅黑" w:eastAsia="微软雅黑"/>
                <w:color w:val="auto"/>
                <w:sz w:val="24"/>
                <w:szCs w:val="24"/>
              </w:rPr>
              <w:t>除第一完成人外，其余根据完成人排名3分顺次递减。</w:t>
            </w: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实用新型专利</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369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软件著作权登记</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369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r>
    </w:tbl>
    <w:p>
      <w:pPr>
        <w:pStyle w:val="4"/>
        <w:spacing w:before="0" w:after="0" w:line="560" w:lineRule="exact"/>
        <w:ind w:firstLineChars="246"/>
        <w:jc w:val="left"/>
        <w:rPr>
          <w:rFonts w:ascii="仿宋" w:hAnsi="仿宋" w:eastAsia="仿宋"/>
          <w:b w:val="0"/>
          <w:bCs w:val="0"/>
          <w:color w:val="auto"/>
          <w:sz w:val="32"/>
          <w:szCs w:val="32"/>
        </w:rPr>
      </w:pPr>
      <w:r>
        <w:rPr>
          <w:rFonts w:ascii="仿宋" w:hAnsi="仿宋" w:eastAsia="仿宋"/>
          <w:b w:val="0"/>
          <w:bCs w:val="0"/>
          <w:color w:val="auto"/>
          <w:sz w:val="32"/>
          <w:szCs w:val="32"/>
        </w:rPr>
        <w:t>3.学科竞赛获奖</w:t>
      </w:r>
    </w:p>
    <w:p>
      <w:pPr>
        <w:pStyle w:val="4"/>
        <w:spacing w:before="0" w:after="0" w:line="560" w:lineRule="exact"/>
        <w:ind w:firstLineChars="200"/>
        <w:jc w:val="left"/>
        <w:rPr>
          <w:rFonts w:ascii="仿宋" w:hAnsi="仿宋" w:eastAsia="仿宋"/>
          <w:color w:val="auto"/>
          <w:sz w:val="32"/>
          <w:szCs w:val="32"/>
        </w:rPr>
      </w:pPr>
      <w:r>
        <w:rPr>
          <w:rFonts w:ascii="仿宋" w:hAnsi="仿宋" w:eastAsia="仿宋" w:cstheme="minorBidi"/>
          <w:b w:val="0"/>
          <w:bCs w:val="0"/>
          <w:color w:val="auto"/>
          <w:kern w:val="2"/>
          <w:sz w:val="32"/>
          <w:szCs w:val="32"/>
          <w:lang w:val="en-US" w:eastAsia="zh-CN" w:bidi="ar-SA"/>
        </w:rPr>
        <w:t>截止到该年度9月10日，申请者在各级各类学科竞赛中获奖，按照以下标准获得相应分值：</w:t>
      </w:r>
    </w:p>
    <w:tbl>
      <w:tblPr>
        <w:tblStyle w:val="6"/>
        <w:tblW w:w="9180" w:type="dxa"/>
        <w:tblInd w:w="0" w:type="dxa"/>
        <w:tblLayout w:type="fixed"/>
        <w:tblCellMar>
          <w:top w:w="0" w:type="dxa"/>
          <w:left w:w="108" w:type="dxa"/>
          <w:bottom w:w="0" w:type="dxa"/>
          <w:right w:w="108" w:type="dxa"/>
        </w:tblCellMar>
      </w:tblPr>
      <w:tblGrid>
        <w:gridCol w:w="3465"/>
        <w:gridCol w:w="1875"/>
        <w:gridCol w:w="1950"/>
        <w:gridCol w:w="1890"/>
      </w:tblGrid>
      <w:tr>
        <w:tblPrEx>
          <w:tblLayout w:type="fixed"/>
          <w:tblCellMar>
            <w:top w:w="0" w:type="dxa"/>
            <w:left w:w="108" w:type="dxa"/>
            <w:bottom w:w="0" w:type="dxa"/>
            <w:right w:w="108" w:type="dxa"/>
          </w:tblCellMar>
        </w:tblPrEx>
        <w:trPr>
          <w:trHeight w:val="450" w:hRule="atLeast"/>
        </w:trPr>
        <w:tc>
          <w:tcPr>
            <w:tcW w:w="3465"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项目级别</w:t>
            </w:r>
          </w:p>
        </w:tc>
        <w:tc>
          <w:tcPr>
            <w:tcW w:w="5715" w:type="dxa"/>
            <w:gridSpan w:val="3"/>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34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一等奖</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二等奖</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三等奖</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国家级学科竞赛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30</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省部级学科竞赛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校级学科竞赛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3</w:t>
            </w:r>
          </w:p>
        </w:tc>
      </w:tr>
    </w:tbl>
    <w:p>
      <w:pPr>
        <w:pStyle w:val="4"/>
        <w:spacing w:before="0" w:after="0"/>
        <w:ind w:firstLineChars="200"/>
        <w:jc w:val="left"/>
        <w:rPr>
          <w:rFonts w:ascii="仿宋" w:hAnsi="仿宋" w:eastAsia="仿宋"/>
          <w:b w:val="0"/>
          <w:bCs w:val="0"/>
          <w:color w:val="auto"/>
          <w:sz w:val="21"/>
          <w:szCs w:val="21"/>
        </w:rPr>
      </w:pPr>
      <w:r>
        <w:rPr>
          <w:rFonts w:ascii="仿宋" w:hAnsi="仿宋" w:eastAsia="仿宋"/>
          <w:b w:val="0"/>
          <w:bCs w:val="0"/>
          <w:color w:val="auto"/>
          <w:sz w:val="21"/>
          <w:szCs w:val="21"/>
        </w:rPr>
        <w:t>注：1.若以团队形式获国家级及省部级奖励，则按照排名5分递减；</w:t>
      </w:r>
    </w:p>
    <w:p>
      <w:pPr>
        <w:pStyle w:val="4"/>
        <w:spacing w:before="0" w:after="0"/>
        <w:ind w:firstLine="840" w:firstLineChars="400"/>
        <w:jc w:val="left"/>
        <w:rPr>
          <w:rFonts w:ascii="仿宋" w:hAnsi="仿宋" w:eastAsia="仿宋"/>
          <w:b w:val="0"/>
          <w:bCs w:val="0"/>
          <w:color w:val="auto"/>
          <w:sz w:val="21"/>
          <w:szCs w:val="21"/>
        </w:rPr>
      </w:pPr>
      <w:r>
        <w:rPr>
          <w:rFonts w:ascii="仿宋" w:hAnsi="仿宋" w:eastAsia="仿宋"/>
          <w:b w:val="0"/>
          <w:bCs w:val="0"/>
          <w:color w:val="auto"/>
          <w:sz w:val="21"/>
          <w:szCs w:val="21"/>
        </w:rPr>
        <w:t>2.若以团队形式获校级奖励，则按照排名2分递减。</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4.大学生创新创业训练项目完成情况</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（1）截止到该年度9月10日前，已按期结题的科创项目参与人按照申请项目级别获得相应分值：</w:t>
      </w:r>
    </w:p>
    <w:tbl>
      <w:tblPr>
        <w:tblStyle w:val="6"/>
        <w:tblW w:w="9180" w:type="dxa"/>
        <w:tblInd w:w="0" w:type="dxa"/>
        <w:tblLayout w:type="fixed"/>
        <w:tblCellMar>
          <w:top w:w="0" w:type="dxa"/>
          <w:left w:w="108" w:type="dxa"/>
          <w:bottom w:w="0" w:type="dxa"/>
          <w:right w:w="108" w:type="dxa"/>
        </w:tblCellMar>
      </w:tblPr>
      <w:tblGrid>
        <w:gridCol w:w="3465"/>
        <w:gridCol w:w="2910"/>
        <w:gridCol w:w="2805"/>
      </w:tblGrid>
      <w:tr>
        <w:tblPrEx>
          <w:tblLayout w:type="fixed"/>
          <w:tblCellMar>
            <w:top w:w="0" w:type="dxa"/>
            <w:left w:w="108" w:type="dxa"/>
            <w:bottom w:w="0" w:type="dxa"/>
            <w:right w:w="108" w:type="dxa"/>
          </w:tblCellMar>
        </w:tblPrEx>
        <w:trPr>
          <w:trHeight w:val="450" w:hRule="atLeast"/>
        </w:trPr>
        <w:tc>
          <w:tcPr>
            <w:tcW w:w="3465"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项目级别</w:t>
            </w:r>
          </w:p>
        </w:tc>
        <w:tc>
          <w:tcPr>
            <w:tcW w:w="5715" w:type="dxa"/>
            <w:gridSpan w:val="2"/>
            <w:tcBorders>
              <w:top w:val="single" w:color="000000" w:sz="8" w:space="0"/>
              <w:left w:val="single" w:color="000000" w:sz="8" w:space="0"/>
              <w:bottom w:val="single" w:color="000000" w:sz="8" w:space="0"/>
              <w:right w:val="single" w:color="000000" w:sz="8" w:space="0"/>
            </w:tcBorders>
            <w:vAlign w:val="top"/>
          </w:tcPr>
          <w:p>
            <w:pPr>
              <w:jc w:val="center"/>
              <w:rPr>
                <w:color w:val="auto"/>
              </w:rPr>
            </w:pPr>
            <w:r>
              <w:rPr>
                <w:rFonts w:hint="eastAsia" w:ascii="微软雅黑" w:hAnsi="微软雅黑" w:eastAsia="微软雅黑"/>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3465" w:type="dxa"/>
            <w:vMerge w:val="continue"/>
            <w:tcBorders>
              <w:top w:val="single" w:color="000000" w:sz="8" w:space="0"/>
              <w:left w:val="single" w:color="000000" w:sz="8" w:space="0"/>
              <w:bottom w:val="single" w:color="000000" w:sz="8" w:space="0"/>
              <w:right w:val="single" w:color="000000" w:sz="8" w:space="0"/>
            </w:tcBorders>
            <w:vAlign w:val="top"/>
          </w:tcPr>
          <w:p>
            <w:pPr>
              <w:jc w:val="center"/>
              <w:rPr>
                <w:color w:val="auto"/>
              </w:rPr>
            </w:pPr>
          </w:p>
        </w:tc>
        <w:tc>
          <w:tcPr>
            <w:tcW w:w="2910" w:type="dxa"/>
            <w:tcBorders>
              <w:top w:val="single" w:color="000000" w:sz="8" w:space="0"/>
              <w:left w:val="single" w:color="000000" w:sz="8" w:space="0"/>
              <w:bottom w:val="single" w:color="000000" w:sz="8" w:space="0"/>
              <w:right w:val="single" w:color="000000" w:sz="8" w:space="0"/>
            </w:tcBorders>
            <w:vAlign w:val="top"/>
          </w:tcPr>
          <w:p>
            <w:pPr>
              <w:jc w:val="center"/>
              <w:rPr>
                <w:color w:val="auto"/>
              </w:rPr>
            </w:pPr>
            <w:r>
              <w:rPr>
                <w:rFonts w:hint="eastAsia" w:ascii="微软雅黑" w:hAnsi="微软雅黑" w:eastAsia="微软雅黑"/>
                <w:color w:val="auto"/>
                <w:sz w:val="24"/>
                <w:szCs w:val="24"/>
              </w:rPr>
              <w:t>项目主持人</w:t>
            </w:r>
          </w:p>
        </w:tc>
        <w:tc>
          <w:tcPr>
            <w:tcW w:w="2805" w:type="dxa"/>
            <w:tcBorders>
              <w:top w:val="single" w:color="000000" w:sz="8" w:space="0"/>
              <w:left w:val="single" w:color="000000" w:sz="8" w:space="0"/>
              <w:bottom w:val="single" w:color="000000" w:sz="8" w:space="0"/>
              <w:right w:val="single" w:color="000000" w:sz="8" w:space="0"/>
            </w:tcBorders>
            <w:vAlign w:val="top"/>
          </w:tcPr>
          <w:p>
            <w:pPr>
              <w:jc w:val="center"/>
              <w:rPr>
                <w:color w:val="auto"/>
              </w:rPr>
            </w:pPr>
            <w:r>
              <w:rPr>
                <w:rFonts w:hint="eastAsia" w:ascii="微软雅黑" w:hAnsi="微软雅黑" w:eastAsia="微软雅黑"/>
                <w:color w:val="auto"/>
                <w:sz w:val="24"/>
                <w:szCs w:val="24"/>
              </w:rPr>
              <w:t>项目组成员</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国家级科创项目</w:t>
            </w:r>
          </w:p>
        </w:tc>
        <w:tc>
          <w:tcPr>
            <w:tcW w:w="291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15</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7</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省重点科创项目</w:t>
            </w:r>
          </w:p>
        </w:tc>
        <w:tc>
          <w:tcPr>
            <w:tcW w:w="291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12</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6</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校重点科创项目</w:t>
            </w:r>
          </w:p>
        </w:tc>
        <w:tc>
          <w:tcPr>
            <w:tcW w:w="291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r>
      <w:tr>
        <w:tblPrEx>
          <w:tblLayout w:type="fixed"/>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校一般及院级科创项目</w:t>
            </w:r>
          </w:p>
        </w:tc>
        <w:tc>
          <w:tcPr>
            <w:tcW w:w="291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8</w:t>
            </w:r>
          </w:p>
        </w:tc>
        <w:tc>
          <w:tcPr>
            <w:tcW w:w="28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4</w:t>
            </w:r>
          </w:p>
        </w:tc>
      </w:tr>
    </w:tbl>
    <w:p>
      <w:pPr>
        <w:pStyle w:val="4"/>
        <w:spacing w:before="0" w:after="0"/>
        <w:ind w:firstLineChars="200"/>
        <w:jc w:val="left"/>
        <w:rPr>
          <w:rFonts w:ascii="仿宋" w:hAnsi="仿宋" w:eastAsia="仿宋"/>
          <w:b w:val="0"/>
          <w:bCs w:val="0"/>
          <w:color w:val="auto"/>
          <w:sz w:val="21"/>
          <w:szCs w:val="21"/>
        </w:rPr>
      </w:pPr>
      <w:r>
        <w:rPr>
          <w:rFonts w:ascii="仿宋" w:hAnsi="仿宋" w:eastAsia="仿宋"/>
          <w:b w:val="0"/>
          <w:bCs w:val="0"/>
          <w:color w:val="auto"/>
          <w:sz w:val="21"/>
          <w:szCs w:val="21"/>
        </w:rPr>
        <w:t>注：按期未结题的项目，学生需提供相应的证明材料，确保项目能够按期完成，经指导教师确认后，交由学院推免生遴选工作小组审核认定。通过审核认定后方可获得相应分值。</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（2）科创项目结题验收后，根据验收结果，科创项目参与人按照以下标准获得相应分值：</w:t>
      </w:r>
    </w:p>
    <w:tbl>
      <w:tblPr>
        <w:tblStyle w:val="6"/>
        <w:tblW w:w="9180" w:type="dxa"/>
        <w:tblInd w:w="0" w:type="dxa"/>
        <w:tblLayout w:type="fixed"/>
        <w:tblCellMar>
          <w:top w:w="0" w:type="dxa"/>
          <w:left w:w="108" w:type="dxa"/>
          <w:bottom w:w="0" w:type="dxa"/>
          <w:right w:w="108" w:type="dxa"/>
        </w:tblCellMar>
      </w:tblPr>
      <w:tblGrid>
        <w:gridCol w:w="4980"/>
        <w:gridCol w:w="4200"/>
      </w:tblGrid>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科创项目验收结果</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优秀</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良好</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8</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合格</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r>
    </w:tbl>
    <w:p>
      <w:pPr>
        <w:ind w:firstLineChars="200"/>
        <w:jc w:val="both"/>
        <w:rPr>
          <w:rFonts w:ascii="仿宋" w:hAnsi="仿宋" w:eastAsia="仿宋"/>
          <w:color w:val="auto"/>
          <w:sz w:val="21"/>
          <w:szCs w:val="21"/>
        </w:rPr>
      </w:pPr>
      <w:r>
        <w:rPr>
          <w:rFonts w:ascii="仿宋" w:hAnsi="仿宋" w:eastAsia="仿宋"/>
          <w:color w:val="auto"/>
          <w:sz w:val="21"/>
          <w:szCs w:val="21"/>
        </w:rPr>
        <w:t>注：1.科创结题加分不再分主持人和参加人；</w:t>
      </w:r>
    </w:p>
    <w:p>
      <w:pPr>
        <w:ind w:firstLine="840" w:firstLineChars="400"/>
        <w:jc w:val="both"/>
        <w:rPr>
          <w:rFonts w:ascii="仿宋" w:hAnsi="仿宋" w:eastAsia="仿宋"/>
          <w:color w:val="auto"/>
          <w:sz w:val="21"/>
          <w:szCs w:val="21"/>
        </w:rPr>
      </w:pPr>
      <w:r>
        <w:rPr>
          <w:rFonts w:ascii="仿宋" w:hAnsi="仿宋" w:eastAsia="仿宋"/>
          <w:color w:val="auto"/>
          <w:sz w:val="21"/>
          <w:szCs w:val="21"/>
        </w:rPr>
        <w:t>2.在前一个科创项目未结题期间，参与申请其它科创项目者，只认定前者。</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5.参与社会实践情况</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参与社会实践情况以学生组织或参与相关的暑期社会实践服务队等级为标准。</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（1）截止到本年度9月10日前，参与学校统一组织的暑期社会实践服务队者，按照以下分值标准加分。</w:t>
      </w:r>
    </w:p>
    <w:tbl>
      <w:tblPr>
        <w:tblStyle w:val="6"/>
        <w:tblW w:w="9330" w:type="dxa"/>
        <w:tblInd w:w="0" w:type="dxa"/>
        <w:tblLayout w:type="fixed"/>
        <w:tblCellMar>
          <w:top w:w="0" w:type="dxa"/>
          <w:left w:w="108" w:type="dxa"/>
          <w:bottom w:w="0" w:type="dxa"/>
          <w:right w:w="108" w:type="dxa"/>
        </w:tblCellMar>
      </w:tblPr>
      <w:tblGrid>
        <w:gridCol w:w="3480"/>
        <w:gridCol w:w="2925"/>
        <w:gridCol w:w="2925"/>
      </w:tblGrid>
      <w:tr>
        <w:tblPrEx>
          <w:tblLayout w:type="fixed"/>
          <w:tblCellMar>
            <w:top w:w="0" w:type="dxa"/>
            <w:left w:w="108" w:type="dxa"/>
            <w:bottom w:w="0" w:type="dxa"/>
            <w:right w:w="108" w:type="dxa"/>
          </w:tblCellMar>
        </w:tblPrEx>
        <w:trPr>
          <w:trHeight w:val="450" w:hRule="atLeast"/>
        </w:trPr>
        <w:tc>
          <w:tcPr>
            <w:tcW w:w="348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队伍等级</w:t>
            </w:r>
          </w:p>
        </w:tc>
        <w:tc>
          <w:tcPr>
            <w:tcW w:w="5850" w:type="dxa"/>
            <w:gridSpan w:val="2"/>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34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队长</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队员</w:t>
            </w:r>
          </w:p>
        </w:tc>
      </w:tr>
      <w:tr>
        <w:tblPrEx>
          <w:tblLayout w:type="fixed"/>
          <w:tblCellMar>
            <w:top w:w="0" w:type="dxa"/>
            <w:left w:w="108" w:type="dxa"/>
            <w:bottom w:w="0" w:type="dxa"/>
            <w:right w:w="108" w:type="dxa"/>
          </w:tblCellMar>
        </w:tblPrEx>
        <w:trPr>
          <w:trHeight w:val="450" w:hRule="atLeast"/>
        </w:trPr>
        <w:tc>
          <w:tcPr>
            <w:tcW w:w="34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校级重点扶持队伍</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4</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3</w:t>
            </w:r>
          </w:p>
        </w:tc>
      </w:tr>
      <w:tr>
        <w:tblPrEx>
          <w:tblLayout w:type="fixed"/>
          <w:tblCellMar>
            <w:top w:w="0" w:type="dxa"/>
            <w:left w:w="108" w:type="dxa"/>
            <w:bottom w:w="0" w:type="dxa"/>
            <w:right w:w="108" w:type="dxa"/>
          </w:tblCellMar>
        </w:tblPrEx>
        <w:trPr>
          <w:trHeight w:val="450" w:hRule="atLeast"/>
        </w:trPr>
        <w:tc>
          <w:tcPr>
            <w:tcW w:w="34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校级一般扶持队伍</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3</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2</w:t>
            </w:r>
          </w:p>
        </w:tc>
      </w:tr>
      <w:tr>
        <w:tblPrEx>
          <w:tblLayout w:type="fixed"/>
          <w:tblCellMar>
            <w:top w:w="0" w:type="dxa"/>
            <w:left w:w="108" w:type="dxa"/>
            <w:bottom w:w="0" w:type="dxa"/>
            <w:right w:w="108" w:type="dxa"/>
          </w:tblCellMar>
        </w:tblPrEx>
        <w:trPr>
          <w:trHeight w:val="450" w:hRule="atLeast"/>
        </w:trPr>
        <w:tc>
          <w:tcPr>
            <w:tcW w:w="34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普通队伍</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2</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1</w:t>
            </w:r>
          </w:p>
        </w:tc>
      </w:tr>
    </w:tbl>
    <w:p>
      <w:pPr>
        <w:pStyle w:val="4"/>
        <w:spacing w:before="0" w:after="0" w:line="560" w:lineRule="exact"/>
        <w:ind w:firstLineChars="200"/>
        <w:jc w:val="left"/>
        <w:rPr>
          <w:rFonts w:ascii="仿宋" w:hAnsi="仿宋" w:eastAsia="仿宋" w:cstheme="minorBidi"/>
          <w:b w:val="0"/>
          <w:bCs w:val="0"/>
          <w:color w:val="auto"/>
          <w:kern w:val="2"/>
          <w:sz w:val="21"/>
          <w:szCs w:val="21"/>
          <w:lang w:val="en-US" w:eastAsia="zh-CN" w:bidi="ar-SA"/>
        </w:rPr>
      </w:pPr>
      <w:r>
        <w:rPr>
          <w:rFonts w:ascii="仿宋" w:hAnsi="仿宋" w:eastAsia="仿宋" w:cstheme="minorBidi"/>
          <w:b w:val="0"/>
          <w:bCs w:val="0"/>
          <w:color w:val="auto"/>
          <w:kern w:val="2"/>
          <w:sz w:val="21"/>
          <w:szCs w:val="21"/>
          <w:lang w:val="en-US" w:eastAsia="zh-CN" w:bidi="ar-SA"/>
        </w:rPr>
        <w:t>注：</w:t>
      </w:r>
      <w:r>
        <w:rPr>
          <w:rFonts w:hint="eastAsia" w:ascii="仿宋" w:hAnsi="仿宋" w:eastAsia="仿宋" w:cstheme="minorBidi"/>
          <w:b w:val="0"/>
          <w:bCs w:val="0"/>
          <w:color w:val="auto"/>
          <w:kern w:val="2"/>
          <w:sz w:val="21"/>
          <w:szCs w:val="21"/>
          <w:lang w:val="en-US" w:eastAsia="zh-CN" w:bidi="ar-SA"/>
        </w:rPr>
        <w:t>未区分校重点和校一般的队伍，均以校一般认定。</w:t>
      </w:r>
    </w:p>
    <w:p>
      <w:pPr>
        <w:pStyle w:val="4"/>
        <w:spacing w:before="0" w:after="0" w:line="560" w:lineRule="exact"/>
        <w:ind w:firstLineChars="200"/>
        <w:jc w:val="left"/>
        <w:rPr>
          <w:rFonts w:ascii="仿宋" w:hAnsi="仿宋" w:eastAsia="仿宋" w:cstheme="minorBidi"/>
          <w:b w:val="0"/>
          <w:bCs w:val="0"/>
          <w:color w:val="auto"/>
          <w:kern w:val="2"/>
          <w:sz w:val="32"/>
          <w:szCs w:val="32"/>
          <w:lang w:val="en-US" w:eastAsia="zh-CN" w:bidi="ar-SA"/>
        </w:rPr>
      </w:pPr>
      <w:r>
        <w:rPr>
          <w:rFonts w:ascii="仿宋" w:hAnsi="仿宋" w:eastAsia="仿宋" w:cstheme="minorBidi"/>
          <w:b w:val="0"/>
          <w:bCs w:val="0"/>
          <w:color w:val="auto"/>
          <w:kern w:val="2"/>
          <w:sz w:val="32"/>
          <w:szCs w:val="32"/>
          <w:lang w:val="en-US" w:eastAsia="zh-CN" w:bidi="ar-SA"/>
        </w:rPr>
        <w:t>（2）参与学校统一组织的暑期社会实践服务队并获奖者，按照以下分值标准加分。</w:t>
      </w:r>
    </w:p>
    <w:tbl>
      <w:tblPr>
        <w:tblStyle w:val="6"/>
        <w:tblW w:w="9180" w:type="dxa"/>
        <w:tblInd w:w="0" w:type="dxa"/>
        <w:tblLayout w:type="fixed"/>
        <w:tblCellMar>
          <w:top w:w="0" w:type="dxa"/>
          <w:left w:w="108" w:type="dxa"/>
          <w:bottom w:w="0" w:type="dxa"/>
          <w:right w:w="108" w:type="dxa"/>
        </w:tblCellMar>
      </w:tblPr>
      <w:tblGrid>
        <w:gridCol w:w="4980"/>
        <w:gridCol w:w="4200"/>
      </w:tblGrid>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服务队获奖结果</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分值标准</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国家级</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8</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b w:val="0"/>
                <w:bCs/>
                <w:color w:val="auto"/>
              </w:rPr>
            </w:pPr>
            <w:r>
              <w:rPr>
                <w:rFonts w:hint="eastAsia" w:ascii="微软雅黑" w:hAnsi="微软雅黑" w:eastAsia="微软雅黑"/>
                <w:b w:val="0"/>
                <w:bCs/>
                <w:color w:val="auto"/>
                <w:sz w:val="24"/>
                <w:szCs w:val="24"/>
              </w:rPr>
              <w:t>省级</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eastAsiaTheme="minorEastAsia"/>
                <w:b w:val="0"/>
                <w:bCs/>
                <w:color w:val="auto"/>
                <w:lang w:eastAsia="zh-CN"/>
              </w:rPr>
            </w:pPr>
            <w:r>
              <w:rPr>
                <w:rFonts w:hint="eastAsia" w:ascii="微软雅黑" w:hAnsi="微软雅黑" w:eastAsia="微软雅黑"/>
                <w:b w:val="0"/>
                <w:bCs/>
                <w:color w:val="auto"/>
                <w:sz w:val="24"/>
                <w:szCs w:val="24"/>
                <w:lang w:val="en-US" w:eastAsia="zh-CN"/>
              </w:rPr>
              <w:t>4</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lang w:val="en-US" w:eastAsia="zh-CN"/>
              </w:rPr>
            </w:pPr>
            <w:r>
              <w:rPr>
                <w:rFonts w:hint="eastAsia" w:ascii="微软雅黑" w:hAnsi="微软雅黑" w:eastAsia="微软雅黑"/>
                <w:b w:val="0"/>
                <w:bCs/>
                <w:color w:val="auto"/>
                <w:sz w:val="24"/>
                <w:szCs w:val="24"/>
              </w:rPr>
              <w:t>校级</w:t>
            </w:r>
            <w:r>
              <w:rPr>
                <w:rFonts w:hint="eastAsia" w:ascii="微软雅黑" w:hAnsi="微软雅黑" w:eastAsia="微软雅黑"/>
                <w:b w:val="0"/>
                <w:bCs/>
                <w:color w:val="auto"/>
                <w:sz w:val="24"/>
                <w:szCs w:val="24"/>
                <w:lang w:val="en-US" w:eastAsia="zh-CN"/>
              </w:rPr>
              <w:t>一等奖</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lang w:val="en-US" w:eastAsia="zh-CN"/>
              </w:rPr>
            </w:pPr>
            <w:r>
              <w:rPr>
                <w:rFonts w:hint="eastAsia" w:ascii="微软雅黑" w:hAnsi="微软雅黑" w:eastAsia="微软雅黑"/>
                <w:b w:val="0"/>
                <w:bCs/>
                <w:color w:val="auto"/>
                <w:sz w:val="24"/>
                <w:szCs w:val="24"/>
                <w:lang w:val="en-US" w:eastAsia="zh-CN"/>
              </w:rPr>
              <w:t>3</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rPr>
            </w:pPr>
            <w:r>
              <w:rPr>
                <w:rFonts w:hint="eastAsia" w:ascii="微软雅黑" w:hAnsi="微软雅黑" w:eastAsia="微软雅黑"/>
                <w:b w:val="0"/>
                <w:bCs/>
                <w:color w:val="auto"/>
                <w:sz w:val="24"/>
                <w:szCs w:val="24"/>
              </w:rPr>
              <w:t>校级</w:t>
            </w:r>
            <w:r>
              <w:rPr>
                <w:rFonts w:hint="eastAsia" w:ascii="微软雅黑" w:hAnsi="微软雅黑" w:eastAsia="微软雅黑"/>
                <w:b w:val="0"/>
                <w:bCs/>
                <w:color w:val="auto"/>
                <w:sz w:val="24"/>
                <w:szCs w:val="24"/>
                <w:lang w:val="en-US" w:eastAsia="zh-CN"/>
              </w:rPr>
              <w:t>二等奖</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lang w:val="en-US" w:eastAsia="zh-CN"/>
              </w:rPr>
            </w:pPr>
            <w:r>
              <w:rPr>
                <w:rFonts w:hint="eastAsia" w:ascii="微软雅黑" w:hAnsi="微软雅黑" w:eastAsia="微软雅黑"/>
                <w:b w:val="0"/>
                <w:bCs/>
                <w:color w:val="auto"/>
                <w:sz w:val="24"/>
                <w:szCs w:val="24"/>
                <w:lang w:val="en-US" w:eastAsia="zh-CN"/>
              </w:rPr>
              <w:t>2</w:t>
            </w:r>
          </w:p>
        </w:tc>
      </w:tr>
      <w:tr>
        <w:tblPrEx>
          <w:tblLayout w:type="fixed"/>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rPr>
            </w:pPr>
            <w:r>
              <w:rPr>
                <w:rFonts w:hint="eastAsia" w:ascii="微软雅黑" w:hAnsi="微软雅黑" w:eastAsia="微软雅黑"/>
                <w:b w:val="0"/>
                <w:bCs/>
                <w:color w:val="auto"/>
                <w:sz w:val="24"/>
                <w:szCs w:val="24"/>
              </w:rPr>
              <w:t>校级</w:t>
            </w:r>
            <w:r>
              <w:rPr>
                <w:rFonts w:hint="eastAsia" w:ascii="微软雅黑" w:hAnsi="微软雅黑" w:eastAsia="微软雅黑"/>
                <w:b w:val="0"/>
                <w:bCs/>
                <w:color w:val="auto"/>
                <w:sz w:val="24"/>
                <w:szCs w:val="24"/>
                <w:lang w:val="en-US" w:eastAsia="zh-CN"/>
              </w:rPr>
              <w:t>三等奖</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微软雅黑" w:hAnsi="微软雅黑" w:eastAsia="微软雅黑"/>
                <w:b w:val="0"/>
                <w:bCs/>
                <w:color w:val="auto"/>
                <w:sz w:val="24"/>
                <w:szCs w:val="24"/>
                <w:lang w:val="en-US" w:eastAsia="zh-CN"/>
              </w:rPr>
            </w:pPr>
            <w:r>
              <w:rPr>
                <w:rFonts w:hint="eastAsia" w:ascii="微软雅黑" w:hAnsi="微软雅黑" w:eastAsia="微软雅黑"/>
                <w:b w:val="0"/>
                <w:bCs/>
                <w:color w:val="auto"/>
                <w:sz w:val="24"/>
                <w:szCs w:val="24"/>
                <w:lang w:val="en-US" w:eastAsia="zh-CN"/>
              </w:rPr>
              <w:t>1</w:t>
            </w:r>
          </w:p>
        </w:tc>
      </w:tr>
    </w:tbl>
    <w:p>
      <w:pPr>
        <w:ind w:firstLineChars="200"/>
        <w:jc w:val="both"/>
        <w:rPr>
          <w:rFonts w:ascii="仿宋" w:hAnsi="仿宋" w:eastAsia="仿宋"/>
          <w:color w:val="auto"/>
          <w:sz w:val="21"/>
          <w:szCs w:val="21"/>
        </w:rPr>
      </w:pPr>
      <w:r>
        <w:rPr>
          <w:rFonts w:ascii="仿宋" w:hAnsi="仿宋" w:eastAsia="仿宋"/>
          <w:color w:val="auto"/>
          <w:sz w:val="21"/>
          <w:szCs w:val="21"/>
        </w:rPr>
        <w:t>注：若申请生多次参加暑期社会实践，成绩可累计。累计得分超过20分，则按照20分计算。</w:t>
      </w:r>
    </w:p>
    <w:p>
      <w:pPr>
        <w:pStyle w:val="4"/>
        <w:spacing w:before="0" w:line="560" w:lineRule="exact"/>
        <w:ind w:firstLineChars="200"/>
        <w:jc w:val="left"/>
        <w:rPr>
          <w:rFonts w:ascii="仿宋" w:hAnsi="仿宋" w:eastAsia="仿宋"/>
          <w:color w:val="auto"/>
          <w:sz w:val="32"/>
          <w:szCs w:val="32"/>
        </w:rPr>
      </w:pPr>
      <w:r>
        <w:rPr>
          <w:rFonts w:ascii="仿宋" w:hAnsi="仿宋" w:eastAsia="仿宋"/>
          <w:color w:val="auto"/>
          <w:sz w:val="32"/>
          <w:szCs w:val="32"/>
        </w:rPr>
        <w:t>（三）面试考核成绩核算标准</w:t>
      </w:r>
    </w:p>
    <w:p>
      <w:pPr>
        <w:ind w:firstLineChars="200"/>
        <w:jc w:val="both"/>
        <w:rPr>
          <w:rFonts w:ascii="仿宋" w:hAnsi="仿宋" w:eastAsia="仿宋"/>
          <w:color w:val="auto"/>
          <w:sz w:val="32"/>
          <w:szCs w:val="32"/>
        </w:rPr>
      </w:pPr>
      <w:r>
        <w:rPr>
          <w:rFonts w:ascii="仿宋" w:hAnsi="仿宋" w:eastAsia="仿宋"/>
          <w:color w:val="auto"/>
          <w:sz w:val="32"/>
          <w:szCs w:val="32"/>
        </w:rPr>
        <w:t>由学院组织相应专业的面试考核小组，对申请者的专业基础和专业知识的掌握程度、外语能力、科研设想及学术潜质、思想政治表现等情况进行综合考核确定。</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五、指标分配</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（一）“双一流”学科群指标</w:t>
      </w:r>
    </w:p>
    <w:p>
      <w:pPr>
        <w:ind w:left="1" w:firstLineChars="200"/>
        <w:jc w:val="both"/>
        <w:rPr>
          <w:rFonts w:ascii="仿宋" w:hAnsi="仿宋" w:eastAsia="仿宋"/>
          <w:color w:val="auto"/>
          <w:sz w:val="32"/>
          <w:szCs w:val="32"/>
        </w:rPr>
      </w:pPr>
      <w:r>
        <w:rPr>
          <w:rFonts w:ascii="仿宋" w:hAnsi="仿宋" w:eastAsia="仿宋"/>
          <w:color w:val="auto"/>
          <w:sz w:val="32"/>
          <w:szCs w:val="32"/>
        </w:rPr>
        <w:t>水土保持与生态环境学科群的推免指标54名。分配办法由学科群制定。</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（二）普通指标</w:t>
      </w:r>
    </w:p>
    <w:p>
      <w:pPr>
        <w:ind w:left="1" w:firstLineChars="200"/>
        <w:jc w:val="both"/>
        <w:rPr>
          <w:color w:val="auto"/>
        </w:rPr>
      </w:pPr>
      <w:r>
        <w:rPr>
          <w:rFonts w:ascii="仿宋" w:hAnsi="仿宋" w:eastAsia="仿宋"/>
          <w:color w:val="auto"/>
          <w:sz w:val="32"/>
          <w:szCs w:val="32"/>
        </w:rPr>
        <w:t>普通指标为35名。学院按照各专业的人数，按比例进行分配。具体指标：资源环境科学5名，环境科学6名，环境工程6名，水土保持与荒漠化防治8名，地理信息科学6名，人文地理与城乡规划4名。</w:t>
      </w:r>
    </w:p>
    <w:p>
      <w:pPr>
        <w:ind w:left="1" w:firstLineChars="200"/>
        <w:jc w:val="both"/>
        <w:rPr>
          <w:rFonts w:ascii="仿宋" w:hAnsi="仿宋" w:eastAsia="仿宋"/>
          <w:b/>
          <w:bCs/>
          <w:color w:val="auto"/>
          <w:sz w:val="32"/>
          <w:szCs w:val="32"/>
        </w:rPr>
      </w:pPr>
      <w:r>
        <w:rPr>
          <w:rFonts w:ascii="仿宋" w:hAnsi="仿宋" w:eastAsia="仿宋"/>
          <w:b/>
          <w:bCs/>
          <w:color w:val="auto"/>
          <w:sz w:val="32"/>
          <w:szCs w:val="32"/>
        </w:rPr>
        <w:t>六、其他事项</w:t>
      </w:r>
    </w:p>
    <w:p>
      <w:pPr>
        <w:ind w:firstLineChars="200"/>
        <w:jc w:val="both"/>
        <w:rPr>
          <w:rFonts w:ascii="仿宋" w:hAnsi="仿宋" w:eastAsia="仿宋"/>
          <w:color w:val="auto"/>
          <w:sz w:val="32"/>
          <w:szCs w:val="32"/>
        </w:rPr>
      </w:pPr>
      <w:r>
        <w:rPr>
          <w:rFonts w:ascii="仿宋" w:hAnsi="仿宋" w:eastAsia="仿宋"/>
          <w:color w:val="auto"/>
          <w:sz w:val="32"/>
          <w:szCs w:val="32"/>
        </w:rPr>
        <w:t>（一）对有特殊学术专长或具有突出培养潜质的应届本科毕业生，可申请学术特长生推荐免试资格，具体按《西北农林科技大学特长生免试攻读研究生推荐办法》（研院〔2018〕19号）执行。</w:t>
      </w:r>
    </w:p>
    <w:p>
      <w:pPr>
        <w:ind w:firstLineChars="200"/>
        <w:jc w:val="both"/>
        <w:rPr>
          <w:rFonts w:ascii="仿宋" w:hAnsi="仿宋" w:eastAsia="仿宋"/>
          <w:color w:val="auto"/>
          <w:sz w:val="32"/>
          <w:szCs w:val="32"/>
        </w:rPr>
      </w:pPr>
      <w:r>
        <w:rPr>
          <w:rFonts w:ascii="仿宋" w:hAnsi="仿宋" w:eastAsia="仿宋"/>
          <w:color w:val="auto"/>
          <w:sz w:val="32"/>
          <w:szCs w:val="32"/>
        </w:rPr>
        <w:t>（二）研究生支教团专项计划推免生的推荐，由校团委牵头负责制定遴选办法，负责遴选推荐工作。</w:t>
      </w:r>
    </w:p>
    <w:p>
      <w:pPr>
        <w:ind w:firstLineChars="200"/>
        <w:jc w:val="both"/>
        <w:rPr>
          <w:rFonts w:ascii="仿宋" w:hAnsi="仿宋" w:eastAsia="仿宋"/>
          <w:color w:val="auto"/>
          <w:sz w:val="32"/>
          <w:szCs w:val="32"/>
        </w:rPr>
      </w:pPr>
      <w:r>
        <w:rPr>
          <w:rFonts w:ascii="仿宋" w:hAnsi="仿宋" w:eastAsia="仿宋"/>
          <w:color w:val="auto"/>
          <w:sz w:val="32"/>
          <w:szCs w:val="32"/>
        </w:rPr>
        <w:t>（三）在学校规定的推免期限内未提出推免申请者，学校不再保留其推免资格。</w:t>
      </w:r>
    </w:p>
    <w:p>
      <w:pPr>
        <w:ind w:left="1" w:firstLineChars="200"/>
        <w:jc w:val="both"/>
        <w:rPr>
          <w:rFonts w:ascii="仿宋" w:hAnsi="仿宋" w:eastAsia="仿宋"/>
          <w:color w:val="auto"/>
          <w:sz w:val="32"/>
          <w:szCs w:val="32"/>
        </w:rPr>
      </w:pPr>
      <w:r>
        <w:rPr>
          <w:rFonts w:ascii="仿宋" w:hAnsi="仿宋" w:eastAsia="仿宋"/>
          <w:color w:val="auto"/>
          <w:sz w:val="32"/>
          <w:szCs w:val="32"/>
        </w:rPr>
        <w:t>（四）推免生出现下列情况之一，按有关规定处理，并取消其推免资格或入学资格：</w:t>
      </w:r>
    </w:p>
    <w:p>
      <w:pPr>
        <w:ind w:left="1" w:firstLineChars="200"/>
        <w:jc w:val="both"/>
        <w:rPr>
          <w:rFonts w:ascii="仿宋" w:hAnsi="仿宋" w:eastAsia="仿宋"/>
          <w:color w:val="auto"/>
          <w:sz w:val="32"/>
          <w:szCs w:val="32"/>
        </w:rPr>
      </w:pPr>
      <w:r>
        <w:rPr>
          <w:rFonts w:ascii="仿宋" w:hAnsi="仿宋" w:eastAsia="仿宋"/>
          <w:color w:val="auto"/>
          <w:sz w:val="32"/>
          <w:szCs w:val="32"/>
        </w:rPr>
        <w:t>1.弄虚作假、缺乏诚信者；</w:t>
      </w:r>
    </w:p>
    <w:p>
      <w:pPr>
        <w:ind w:left="1" w:firstLineChars="200"/>
        <w:jc w:val="both"/>
        <w:rPr>
          <w:rFonts w:ascii="仿宋" w:hAnsi="仿宋" w:eastAsia="仿宋"/>
          <w:color w:val="auto"/>
          <w:sz w:val="32"/>
          <w:szCs w:val="32"/>
        </w:rPr>
      </w:pPr>
      <w:r>
        <w:rPr>
          <w:rFonts w:ascii="仿宋" w:hAnsi="仿宋" w:eastAsia="仿宋"/>
          <w:color w:val="auto"/>
          <w:sz w:val="32"/>
          <w:szCs w:val="32"/>
        </w:rPr>
        <w:t>2.思想政治品德考核不合格或考核成绩小于60分者；</w:t>
      </w:r>
    </w:p>
    <w:p>
      <w:pPr>
        <w:ind w:left="1" w:firstLineChars="200"/>
        <w:jc w:val="both"/>
        <w:rPr>
          <w:rFonts w:ascii="仿宋" w:hAnsi="仿宋" w:eastAsia="仿宋"/>
          <w:color w:val="auto"/>
          <w:sz w:val="32"/>
          <w:szCs w:val="32"/>
        </w:rPr>
      </w:pPr>
      <w:r>
        <w:rPr>
          <w:rFonts w:ascii="仿宋" w:hAnsi="仿宋" w:eastAsia="仿宋"/>
          <w:color w:val="auto"/>
          <w:sz w:val="32"/>
          <w:szCs w:val="32"/>
        </w:rPr>
        <w:t>3.受学校纪律处分，在处分期内者；</w:t>
      </w:r>
    </w:p>
    <w:p>
      <w:pPr>
        <w:ind w:firstLineChars="200"/>
        <w:jc w:val="both"/>
        <w:rPr>
          <w:rFonts w:ascii="仿宋" w:hAnsi="仿宋" w:eastAsia="仿宋"/>
          <w:color w:val="auto"/>
          <w:sz w:val="32"/>
          <w:szCs w:val="32"/>
        </w:rPr>
      </w:pPr>
      <w:r>
        <w:rPr>
          <w:rFonts w:ascii="仿宋" w:hAnsi="仿宋" w:eastAsia="仿宋"/>
          <w:color w:val="auto"/>
          <w:sz w:val="32"/>
          <w:szCs w:val="32"/>
        </w:rPr>
        <w:t>4.在规定学习年限内不能按期毕业取得学士学位者。</w:t>
      </w:r>
    </w:p>
    <w:p>
      <w:pPr>
        <w:ind w:firstLineChars="200"/>
        <w:jc w:val="both"/>
        <w:rPr>
          <w:rFonts w:ascii="仿宋" w:hAnsi="仿宋" w:eastAsia="仿宋"/>
          <w:color w:val="auto"/>
          <w:sz w:val="32"/>
          <w:szCs w:val="32"/>
        </w:rPr>
      </w:pPr>
      <w:r>
        <w:rPr>
          <w:rFonts w:ascii="仿宋" w:hAnsi="仿宋" w:eastAsia="仿宋"/>
          <w:color w:val="auto"/>
          <w:sz w:val="32"/>
          <w:szCs w:val="32"/>
        </w:rPr>
        <w:t>（五）申请推免的学生，如对遴选结果有异议，在公示期内，可向学院推免生遴选工作小组或学校推免生遴选工作领导小组（监察处）提出复议申请，具体程序如下：</w:t>
      </w:r>
    </w:p>
    <w:p>
      <w:pPr>
        <w:ind w:firstLineChars="200"/>
        <w:jc w:val="both"/>
        <w:rPr>
          <w:rFonts w:ascii="仿宋" w:hAnsi="仿宋" w:eastAsia="仿宋"/>
          <w:color w:val="auto"/>
          <w:sz w:val="32"/>
          <w:szCs w:val="32"/>
        </w:rPr>
      </w:pPr>
      <w:r>
        <w:rPr>
          <w:rFonts w:ascii="仿宋" w:hAnsi="仿宋" w:eastAsia="仿宋"/>
          <w:color w:val="auto"/>
          <w:sz w:val="32"/>
          <w:szCs w:val="32"/>
        </w:rPr>
        <w:t>1.申请复议的学生应填写《西北农林科技大学推荐免试攻读研究生复议申请表》（一式三份，下面简称“复议申请表”），提交学院推免生遴选工作小组或学校推免生遴选工作领导小组（监察处）；</w:t>
      </w:r>
    </w:p>
    <w:p>
      <w:pPr>
        <w:ind w:firstLineChars="200"/>
        <w:jc w:val="both"/>
        <w:rPr>
          <w:rFonts w:ascii="仿宋" w:hAnsi="仿宋" w:eastAsia="仿宋"/>
          <w:color w:val="auto"/>
          <w:sz w:val="32"/>
          <w:szCs w:val="32"/>
        </w:rPr>
      </w:pPr>
      <w:r>
        <w:rPr>
          <w:rFonts w:ascii="仿宋" w:hAnsi="仿宋" w:eastAsia="仿宋"/>
          <w:color w:val="auto"/>
          <w:sz w:val="32"/>
          <w:szCs w:val="32"/>
        </w:rPr>
        <w:t>2.按照学校规定和学院实施细则，推免生遴选工作小组或学校推免生遴选工作领导小组审核申请复议学生所反映情况是否属实，情况属实的进入复议程序；</w:t>
      </w:r>
    </w:p>
    <w:p>
      <w:pPr>
        <w:ind w:firstLineChars="200"/>
        <w:jc w:val="both"/>
        <w:rPr>
          <w:rFonts w:ascii="仿宋" w:hAnsi="仿宋" w:eastAsia="仿宋"/>
          <w:color w:val="auto"/>
          <w:sz w:val="32"/>
          <w:szCs w:val="32"/>
        </w:rPr>
      </w:pPr>
      <w:r>
        <w:rPr>
          <w:rFonts w:ascii="仿宋" w:hAnsi="仿宋" w:eastAsia="仿宋"/>
          <w:color w:val="auto"/>
          <w:sz w:val="32"/>
          <w:szCs w:val="32"/>
        </w:rPr>
        <w:t>3.推免生遴选工作小组在本职责范围内按照学院推免工作监督管理实施细则，审核学生复议申请，开展复议督查。推免生遴选工作小组对超出监督复查范围或职责的复议申请，及时提交学校推免生遴选工作领导小组；学校推免生遴选工作领导小组组织复议专家组，全面复查相关工作环节，形成复议结论，并告知学院和申请复议的学生；</w:t>
      </w:r>
    </w:p>
    <w:p>
      <w:pPr>
        <w:ind w:firstLineChars="200"/>
        <w:jc w:val="both"/>
        <w:rPr>
          <w:rFonts w:ascii="仿宋" w:hAnsi="仿宋" w:eastAsia="仿宋"/>
          <w:color w:val="auto"/>
          <w:sz w:val="32"/>
          <w:szCs w:val="32"/>
        </w:rPr>
      </w:pPr>
      <w:r>
        <w:rPr>
          <w:rFonts w:ascii="仿宋" w:hAnsi="仿宋" w:eastAsia="仿宋"/>
          <w:color w:val="auto"/>
          <w:sz w:val="32"/>
          <w:szCs w:val="32"/>
        </w:rPr>
        <w:t>4.推免生遴选工作小组根据复议结论，按程序予以落实，并将结果报送研究生院审核、备案。</w:t>
      </w:r>
    </w:p>
    <w:p>
      <w:pPr>
        <w:ind w:firstLineChars="200"/>
        <w:jc w:val="both"/>
        <w:rPr>
          <w:rFonts w:ascii="仿宋" w:hAnsi="仿宋" w:eastAsia="仿宋"/>
          <w:color w:val="auto"/>
          <w:sz w:val="32"/>
          <w:szCs w:val="32"/>
        </w:rPr>
      </w:pPr>
      <w:r>
        <w:rPr>
          <w:rFonts w:ascii="仿宋" w:hAnsi="仿宋" w:eastAsia="仿宋"/>
          <w:color w:val="auto"/>
          <w:sz w:val="32"/>
          <w:szCs w:val="32"/>
        </w:rPr>
        <w:t>（六）各专业的推免指标按照本专业人数占比来确定。</w:t>
      </w:r>
    </w:p>
    <w:p>
      <w:pPr>
        <w:ind w:firstLineChars="200"/>
        <w:jc w:val="both"/>
        <w:rPr>
          <w:rFonts w:ascii="仿宋" w:hAnsi="仿宋" w:eastAsia="仿宋"/>
          <w:color w:val="auto"/>
          <w:sz w:val="32"/>
          <w:szCs w:val="32"/>
        </w:rPr>
      </w:pPr>
      <w:r>
        <w:rPr>
          <w:rFonts w:ascii="仿宋" w:hAnsi="仿宋" w:eastAsia="仿宋"/>
          <w:color w:val="auto"/>
          <w:sz w:val="32"/>
          <w:szCs w:val="32"/>
        </w:rPr>
        <w:t>（七）本实施细则未注明的其他类型和项目，由学院推免生遴选工作小组进行研究确定。</w:t>
      </w:r>
    </w:p>
    <w:p>
      <w:pPr>
        <w:ind w:firstLineChars="200"/>
        <w:jc w:val="both"/>
        <w:rPr>
          <w:rFonts w:ascii="仿宋" w:hAnsi="仿宋" w:eastAsia="仿宋"/>
          <w:color w:val="auto"/>
          <w:sz w:val="32"/>
          <w:szCs w:val="32"/>
        </w:rPr>
      </w:pPr>
      <w:r>
        <w:rPr>
          <w:rFonts w:ascii="仿宋" w:hAnsi="仿宋" w:eastAsia="仿宋"/>
          <w:color w:val="auto"/>
          <w:sz w:val="32"/>
          <w:szCs w:val="32"/>
        </w:rPr>
        <w:t>（八）本实施细则自公布之日起开始实施，由资源环境学院负责解释。</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                      </w:t>
      </w:r>
    </w:p>
    <w:p>
      <w:pPr>
        <w:ind w:firstLineChars="200"/>
        <w:jc w:val="both"/>
        <w:rPr>
          <w:rFonts w:ascii="仿宋" w:hAnsi="仿宋" w:eastAsia="仿宋"/>
          <w:color w:val="auto"/>
          <w:sz w:val="32"/>
          <w:szCs w:val="32"/>
        </w:rPr>
      </w:pPr>
    </w:p>
    <w:p>
      <w:pPr>
        <w:ind w:firstLine="4160" w:firstLineChars="1300"/>
        <w:jc w:val="both"/>
        <w:rPr>
          <w:rFonts w:ascii="仿宋" w:hAnsi="仿宋" w:eastAsia="仿宋"/>
          <w:color w:val="auto"/>
          <w:sz w:val="32"/>
          <w:szCs w:val="32"/>
        </w:rPr>
      </w:pPr>
      <w:r>
        <w:rPr>
          <w:rFonts w:ascii="仿宋" w:hAnsi="仿宋" w:eastAsia="仿宋"/>
          <w:color w:val="auto"/>
          <w:sz w:val="32"/>
          <w:szCs w:val="32"/>
        </w:rPr>
        <w:t xml:space="preserve"> 资源环境学院</w:t>
      </w:r>
    </w:p>
    <w:p>
      <w:pPr>
        <w:ind w:firstLineChars="200"/>
        <w:jc w:val="both"/>
        <w:rPr>
          <w:rFonts w:ascii="仿宋" w:hAnsi="仿宋" w:eastAsia="仿宋"/>
          <w:color w:val="auto"/>
          <w:sz w:val="32"/>
          <w:szCs w:val="32"/>
        </w:rPr>
      </w:pPr>
      <w:r>
        <w:rPr>
          <w:rFonts w:ascii="仿宋" w:hAnsi="仿宋" w:eastAsia="仿宋"/>
          <w:color w:val="auto"/>
          <w:sz w:val="32"/>
          <w:szCs w:val="32"/>
        </w:rPr>
        <w:t xml:space="preserve">                       2018年9月</w:t>
      </w:r>
      <w:r>
        <w:rPr>
          <w:rFonts w:hint="eastAsia" w:ascii="仿宋" w:hAnsi="仿宋" w:eastAsia="仿宋"/>
          <w:color w:val="auto"/>
          <w:sz w:val="32"/>
          <w:szCs w:val="32"/>
          <w:lang w:val="en-US" w:eastAsia="zh-CN"/>
        </w:rPr>
        <w:t>10</w:t>
      </w:r>
      <w:r>
        <w:rPr>
          <w:rFonts w:ascii="仿宋" w:hAnsi="仿宋" w:eastAsia="仿宋"/>
          <w:color w:val="auto"/>
          <w:sz w:val="32"/>
          <w:szCs w:val="32"/>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2213C"/>
    <w:rsid w:val="00633F40"/>
    <w:rsid w:val="006549AD"/>
    <w:rsid w:val="00684D9C"/>
    <w:rsid w:val="00A60633"/>
    <w:rsid w:val="00BA0C1A"/>
    <w:rsid w:val="00C061CB"/>
    <w:rsid w:val="00E26251"/>
    <w:rsid w:val="00EA1EE8"/>
    <w:rsid w:val="00F53662"/>
    <w:rsid w:val="083D07F0"/>
    <w:rsid w:val="105E3B74"/>
    <w:rsid w:val="1B6A6771"/>
    <w:rsid w:val="1C2C4424"/>
    <w:rsid w:val="1CD54CE6"/>
    <w:rsid w:val="1DEC38DC"/>
    <w:rsid w:val="30456175"/>
    <w:rsid w:val="36772279"/>
    <w:rsid w:val="434067C1"/>
    <w:rsid w:val="44D845A1"/>
    <w:rsid w:val="50F45E6D"/>
    <w:rsid w:val="568D20C3"/>
    <w:rsid w:val="5EC17379"/>
    <w:rsid w:val="6EAF13B0"/>
    <w:rsid w:val="6EC97162"/>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3"/>
    <w:semiHidden/>
    <w:qFormat/>
    <w:uiPriority w:val="99"/>
    <w:rPr>
      <w:sz w:val="18"/>
      <w:szCs w:val="18"/>
    </w:rPr>
  </w:style>
  <w:style w:type="character" w:customStyle="1" w:styleId="9">
    <w:name w:val="页脚 字符"/>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TotalTime>1</TotalTime>
  <ScaleCrop>false</ScaleCrop>
  <LinksUpToDate>false</LinksUpToDate>
  <CharactersWithSpaces>123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西红柿</cp:lastModifiedBy>
  <cp:lastPrinted>2018-09-10T01:50:00Z</cp:lastPrinted>
  <dcterms:modified xsi:type="dcterms:W3CDTF">2018-09-10T02:26:50Z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