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仿宋" w:eastAsia="黑体" w:cs="仿宋_GB2312"/>
          <w:sz w:val="30"/>
          <w:szCs w:val="30"/>
        </w:rPr>
      </w:pPr>
      <w:r>
        <w:rPr>
          <w:rFonts w:hint="eastAsia" w:ascii="黑体" w:hAnsi="仿宋" w:eastAsia="黑体" w:cs="仿宋_GB2312"/>
          <w:kern w:val="2"/>
          <w:sz w:val="30"/>
          <w:szCs w:val="30"/>
          <w:lang w:eastAsia="zh-CN" w:bidi="ar"/>
        </w:rPr>
        <w:t>附件2</w:t>
      </w:r>
    </w:p>
    <w:p>
      <w:pPr>
        <w:spacing w:after="180" w:afterLines="50"/>
        <w:jc w:val="center"/>
        <w:rPr>
          <w:rFonts w:hint="eastAsia" w:ascii="方正小标宋简体" w:hAnsi="仿宋" w:eastAsia="方正小标宋简体" w:cs="仿宋_GB2312"/>
          <w:kern w:val="0"/>
          <w:sz w:val="32"/>
          <w:szCs w:val="32"/>
        </w:rPr>
      </w:pPr>
      <w:r>
        <w:rPr>
          <w:rFonts w:hint="eastAsia" w:ascii="方正小标宋简体" w:hAnsi="仿宋" w:eastAsia="方正小标宋简体" w:cs="仿宋_GB2312"/>
          <w:kern w:val="0"/>
          <w:sz w:val="32"/>
          <w:szCs w:val="32"/>
          <w:lang w:eastAsia="zh-CN" w:bidi="ar"/>
        </w:rPr>
        <w:t>科技项目资金支出内容规定</w:t>
      </w:r>
    </w:p>
    <w:tbl>
      <w:tblPr>
        <w:tblStyle w:val="3"/>
        <w:tblW w:w="0" w:type="auto"/>
        <w:tblInd w:w="0" w:type="dxa"/>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719"/>
        <w:gridCol w:w="1516"/>
        <w:gridCol w:w="4048"/>
        <w:gridCol w:w="2537"/>
      </w:tblGrid>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719" w:type="dxa"/>
            <w:tcBorders>
              <w:top w:val="single" w:color="000000" w:sz="12" w:space="0"/>
              <w:left w:val="nil"/>
              <w:bottom w:val="single" w:color="auto" w:sz="12" w:space="0"/>
              <w:right w:val="single" w:color="auto" w:sz="12" w:space="0"/>
            </w:tcBorders>
            <w:noWrap w:val="0"/>
            <w:vAlign w:val="top"/>
          </w:tcPr>
          <w:p>
            <w:pPr>
              <w:jc w:val="center"/>
              <w:rPr>
                <w:rFonts w:hint="eastAsia" w:ascii="仿宋" w:hAnsi="仿宋" w:eastAsia="仿宋" w:cs="仿宋_GB2312"/>
                <w:b/>
                <w:iCs/>
                <w:sz w:val="24"/>
                <w:szCs w:val="24"/>
              </w:rPr>
            </w:pPr>
            <w:r>
              <w:rPr>
                <w:rFonts w:hint="eastAsia" w:ascii="仿宋" w:hAnsi="仿宋" w:eastAsia="仿宋" w:cs="仿宋_GB2312"/>
                <w:b/>
                <w:iCs/>
                <w:kern w:val="2"/>
                <w:sz w:val="24"/>
                <w:szCs w:val="24"/>
                <w:lang w:eastAsia="zh-CN" w:bidi="ar"/>
              </w:rPr>
              <w:t>序号</w:t>
            </w:r>
          </w:p>
        </w:tc>
        <w:tc>
          <w:tcPr>
            <w:tcW w:w="1516" w:type="dxa"/>
            <w:tcBorders>
              <w:top w:val="single" w:color="000000" w:sz="12" w:space="0"/>
              <w:left w:val="single" w:color="auto" w:sz="12" w:space="0"/>
              <w:bottom w:val="single" w:color="auto" w:sz="12" w:space="0"/>
              <w:right w:val="single" w:color="auto" w:sz="12" w:space="0"/>
            </w:tcBorders>
            <w:noWrap w:val="0"/>
            <w:vAlign w:val="top"/>
          </w:tcPr>
          <w:p>
            <w:pPr>
              <w:jc w:val="center"/>
              <w:rPr>
                <w:rFonts w:hint="eastAsia" w:ascii="仿宋" w:hAnsi="仿宋" w:eastAsia="仿宋" w:cs="仿宋_GB2312"/>
                <w:b/>
                <w:iCs/>
                <w:sz w:val="24"/>
                <w:szCs w:val="24"/>
              </w:rPr>
            </w:pPr>
            <w:r>
              <w:rPr>
                <w:rFonts w:hint="eastAsia" w:ascii="仿宋" w:hAnsi="仿宋" w:eastAsia="仿宋" w:cs="仿宋_GB2312"/>
                <w:b/>
                <w:iCs/>
                <w:kern w:val="2"/>
                <w:sz w:val="24"/>
                <w:szCs w:val="24"/>
                <w:lang w:eastAsia="zh-CN" w:bidi="ar"/>
              </w:rPr>
              <w:t>类  别</w:t>
            </w:r>
          </w:p>
        </w:tc>
        <w:tc>
          <w:tcPr>
            <w:tcW w:w="4048" w:type="dxa"/>
            <w:tcBorders>
              <w:top w:val="single" w:color="000000" w:sz="12" w:space="0"/>
              <w:left w:val="single" w:color="auto" w:sz="12" w:space="0"/>
              <w:bottom w:val="single" w:color="auto" w:sz="12" w:space="0"/>
              <w:right w:val="single" w:color="auto" w:sz="12" w:space="0"/>
            </w:tcBorders>
            <w:noWrap w:val="0"/>
            <w:vAlign w:val="top"/>
          </w:tcPr>
          <w:p>
            <w:pPr>
              <w:jc w:val="center"/>
              <w:rPr>
                <w:rFonts w:hint="eastAsia" w:ascii="仿宋" w:hAnsi="仿宋" w:eastAsia="仿宋" w:cs="仿宋_GB2312"/>
                <w:b/>
                <w:iCs/>
                <w:sz w:val="24"/>
                <w:szCs w:val="24"/>
              </w:rPr>
            </w:pPr>
            <w:r>
              <w:rPr>
                <w:rFonts w:hint="eastAsia" w:ascii="仿宋" w:hAnsi="仿宋" w:eastAsia="仿宋" w:cs="仿宋_GB2312"/>
                <w:b/>
                <w:iCs/>
                <w:kern w:val="2"/>
                <w:sz w:val="24"/>
                <w:szCs w:val="24"/>
                <w:lang w:eastAsia="zh-CN" w:bidi="ar"/>
              </w:rPr>
              <w:t>具体内容</w:t>
            </w:r>
          </w:p>
        </w:tc>
        <w:tc>
          <w:tcPr>
            <w:tcW w:w="2537" w:type="dxa"/>
            <w:tcBorders>
              <w:top w:val="single" w:color="000000" w:sz="12" w:space="0"/>
              <w:left w:val="single" w:color="auto" w:sz="12" w:space="0"/>
              <w:bottom w:val="single" w:color="auto" w:sz="12" w:space="0"/>
              <w:right w:val="nil"/>
            </w:tcBorders>
            <w:noWrap w:val="0"/>
            <w:vAlign w:val="top"/>
          </w:tcPr>
          <w:p>
            <w:pPr>
              <w:jc w:val="center"/>
              <w:rPr>
                <w:rFonts w:hint="eastAsia" w:ascii="仿宋" w:hAnsi="仿宋" w:eastAsia="仿宋" w:cs="仿宋_GB2312"/>
                <w:b/>
                <w:sz w:val="24"/>
                <w:szCs w:val="24"/>
              </w:rPr>
            </w:pPr>
            <w:r>
              <w:rPr>
                <w:rFonts w:hint="eastAsia" w:ascii="仿宋" w:hAnsi="仿宋" w:eastAsia="仿宋" w:cs="仿宋_GB2312"/>
                <w:b/>
                <w:kern w:val="2"/>
                <w:sz w:val="24"/>
                <w:szCs w:val="24"/>
                <w:lang w:eastAsia="zh-CN" w:bidi="ar"/>
              </w:rPr>
              <w:t>备  注</w:t>
            </w: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719" w:type="dxa"/>
            <w:tcBorders>
              <w:top w:val="single" w:color="auto" w:sz="12" w:space="0"/>
              <w:left w:val="nil"/>
              <w:bottom w:val="nil"/>
              <w:right w:val="single" w:color="auto" w:sz="12" w:space="0"/>
            </w:tcBorders>
            <w:noWrap w:val="0"/>
            <w:vAlign w:val="top"/>
          </w:tcPr>
          <w:p>
            <w:pPr>
              <w:jc w:val="center"/>
              <w:rPr>
                <w:rFonts w:hint="eastAsia" w:ascii="仿宋" w:hAnsi="仿宋" w:eastAsia="仿宋" w:cs="仿宋_GB2312"/>
                <w:sz w:val="24"/>
                <w:szCs w:val="24"/>
              </w:rPr>
            </w:pPr>
          </w:p>
        </w:tc>
        <w:tc>
          <w:tcPr>
            <w:tcW w:w="1516" w:type="dxa"/>
            <w:tcBorders>
              <w:top w:val="single" w:color="auto" w:sz="12" w:space="0"/>
              <w:left w:val="single" w:color="auto" w:sz="12" w:space="0"/>
              <w:bottom w:val="nil"/>
              <w:right w:val="single" w:color="auto" w:sz="12" w:space="0"/>
            </w:tcBorders>
            <w:noWrap w:val="0"/>
            <w:vAlign w:val="top"/>
          </w:tcPr>
          <w:p>
            <w:pPr>
              <w:rPr>
                <w:rFonts w:hint="eastAsia" w:ascii="仿宋" w:hAnsi="仿宋" w:eastAsia="仿宋" w:cs="仿宋_GB2312"/>
                <w:kern w:val="0"/>
                <w:sz w:val="24"/>
                <w:szCs w:val="24"/>
              </w:rPr>
            </w:pPr>
            <w:r>
              <w:rPr>
                <w:rFonts w:hint="eastAsia" w:ascii="仿宋" w:hAnsi="仿宋" w:eastAsia="仿宋" w:cs="仿宋_GB2312"/>
                <w:kern w:val="0"/>
                <w:sz w:val="24"/>
                <w:szCs w:val="24"/>
                <w:lang w:eastAsia="zh-CN" w:bidi="ar"/>
              </w:rPr>
              <w:t>直接费用</w:t>
            </w:r>
          </w:p>
        </w:tc>
        <w:tc>
          <w:tcPr>
            <w:tcW w:w="4048" w:type="dxa"/>
            <w:tcBorders>
              <w:top w:val="single" w:color="auto" w:sz="12" w:space="0"/>
              <w:left w:val="single" w:color="auto" w:sz="12" w:space="0"/>
              <w:bottom w:val="single" w:color="auto" w:sz="4" w:space="0"/>
              <w:right w:val="single" w:color="auto" w:sz="12" w:space="0"/>
            </w:tcBorders>
            <w:noWrap w:val="0"/>
            <w:vAlign w:val="top"/>
          </w:tcPr>
          <w:p>
            <w:pPr>
              <w:rPr>
                <w:rFonts w:hint="eastAsia" w:ascii="仿宋" w:hAnsi="仿宋" w:eastAsia="仿宋" w:cs="仿宋_GB2312"/>
                <w:kern w:val="0"/>
                <w:sz w:val="24"/>
                <w:szCs w:val="24"/>
              </w:rPr>
            </w:pPr>
          </w:p>
        </w:tc>
        <w:tc>
          <w:tcPr>
            <w:tcW w:w="2537" w:type="dxa"/>
            <w:tcBorders>
              <w:top w:val="single" w:color="auto" w:sz="12" w:space="0"/>
              <w:left w:val="single" w:color="auto" w:sz="12" w:space="0"/>
              <w:bottom w:val="single" w:color="auto" w:sz="4" w:space="0"/>
              <w:right w:val="nil"/>
            </w:tcBorders>
            <w:noWrap w:val="0"/>
            <w:vAlign w:val="top"/>
          </w:tcPr>
          <w:p>
            <w:pPr>
              <w:rPr>
                <w:rFonts w:hint="eastAsia" w:ascii="仿宋" w:hAnsi="仿宋" w:eastAsia="仿宋" w:cs="仿宋_GB2312"/>
                <w:sz w:val="24"/>
                <w:szCs w:val="24"/>
              </w:rPr>
            </w:pP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719" w:type="dxa"/>
            <w:vMerge w:val="restart"/>
            <w:tcBorders>
              <w:top w:val="single" w:color="auto" w:sz="12" w:space="0"/>
              <w:left w:val="nil"/>
              <w:bottom w:val="single" w:color="auto" w:sz="4" w:space="0"/>
              <w:right w:val="single" w:color="auto" w:sz="12" w:space="0"/>
            </w:tcBorders>
            <w:noWrap w:val="0"/>
            <w:vAlign w:val="top"/>
          </w:tcPr>
          <w:p>
            <w:pPr>
              <w:jc w:val="center"/>
              <w:rPr>
                <w:rFonts w:hint="eastAsia" w:ascii="仿宋" w:hAnsi="仿宋" w:eastAsia="仿宋" w:cs="仿宋_GB2312"/>
                <w:sz w:val="24"/>
                <w:szCs w:val="24"/>
              </w:rPr>
            </w:pPr>
            <w:r>
              <w:rPr>
                <w:rFonts w:hint="eastAsia" w:ascii="仿宋" w:hAnsi="仿宋" w:eastAsia="仿宋" w:cs="仿宋_GB2312"/>
                <w:kern w:val="2"/>
                <w:sz w:val="24"/>
                <w:szCs w:val="24"/>
                <w:lang w:eastAsia="zh-CN" w:bidi="ar"/>
              </w:rPr>
              <w:t>1</w:t>
            </w:r>
          </w:p>
          <w:p>
            <w:pPr>
              <w:jc w:val="center"/>
              <w:rPr>
                <w:rFonts w:hint="eastAsia" w:ascii="仿宋" w:hAnsi="仿宋" w:eastAsia="仿宋" w:cs="仿宋_GB2312"/>
                <w:sz w:val="24"/>
                <w:szCs w:val="24"/>
              </w:rPr>
            </w:pPr>
          </w:p>
          <w:p>
            <w:pPr>
              <w:jc w:val="center"/>
              <w:rPr>
                <w:rFonts w:hint="eastAsia" w:ascii="仿宋" w:hAnsi="仿宋" w:eastAsia="仿宋" w:cs="仿宋_GB2312"/>
                <w:sz w:val="24"/>
                <w:szCs w:val="24"/>
              </w:rPr>
            </w:pPr>
          </w:p>
        </w:tc>
        <w:tc>
          <w:tcPr>
            <w:tcW w:w="1516" w:type="dxa"/>
            <w:vMerge w:val="restart"/>
            <w:tcBorders>
              <w:top w:val="single" w:color="auto" w:sz="12" w:space="0"/>
              <w:left w:val="single" w:color="auto" w:sz="12" w:space="0"/>
              <w:bottom w:val="single" w:color="auto" w:sz="4" w:space="0"/>
              <w:right w:val="single" w:color="auto" w:sz="12" w:space="0"/>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设备费</w:t>
            </w:r>
          </w:p>
        </w:tc>
        <w:tc>
          <w:tcPr>
            <w:tcW w:w="4048" w:type="dxa"/>
            <w:tcBorders>
              <w:top w:val="single" w:color="auto" w:sz="12" w:space="0"/>
              <w:left w:val="single" w:color="auto" w:sz="12" w:space="0"/>
              <w:bottom w:val="single" w:color="auto" w:sz="4" w:space="0"/>
              <w:right w:val="single" w:color="auto" w:sz="12" w:space="0"/>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1.购置或试制的专用仪器设备</w:t>
            </w:r>
          </w:p>
        </w:tc>
        <w:tc>
          <w:tcPr>
            <w:tcW w:w="2537" w:type="dxa"/>
            <w:vMerge w:val="restart"/>
            <w:tcBorders>
              <w:top w:val="single" w:color="auto" w:sz="12" w:space="0"/>
              <w:left w:val="single" w:color="auto" w:sz="12" w:space="0"/>
              <w:right w:val="nil"/>
            </w:tcBorders>
            <w:noWrap w:val="0"/>
            <w:vAlign w:val="top"/>
          </w:tcPr>
          <w:p>
            <w:pPr>
              <w:rPr>
                <w:rFonts w:hint="eastAsia" w:ascii="仿宋" w:hAnsi="仿宋" w:eastAsia="仿宋" w:cs="仿宋_GB2312"/>
                <w:sz w:val="24"/>
                <w:szCs w:val="24"/>
              </w:rPr>
            </w:pP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719" w:type="dxa"/>
            <w:vMerge w:val="continue"/>
            <w:tcBorders>
              <w:top w:val="single" w:color="auto" w:sz="12" w:space="0"/>
              <w:left w:val="nil"/>
              <w:bottom w:val="single" w:color="auto" w:sz="4" w:space="0"/>
              <w:right w:val="single" w:color="auto" w:sz="12" w:space="0"/>
            </w:tcBorders>
            <w:noWrap w:val="0"/>
            <w:vAlign w:val="top"/>
          </w:tcPr>
          <w:p>
            <w:pPr>
              <w:rPr>
                <w:rFonts w:hint="eastAsia" w:ascii="仿宋" w:hAnsi="仿宋" w:eastAsia="仿宋" w:cs="仿宋_GB2312"/>
                <w:sz w:val="24"/>
                <w:szCs w:val="24"/>
              </w:rPr>
            </w:pPr>
          </w:p>
        </w:tc>
        <w:tc>
          <w:tcPr>
            <w:tcW w:w="1516" w:type="dxa"/>
            <w:vMerge w:val="continue"/>
            <w:tcBorders>
              <w:top w:val="single" w:color="auto" w:sz="12" w:space="0"/>
              <w:left w:val="single" w:color="auto" w:sz="12" w:space="0"/>
              <w:bottom w:val="single" w:color="auto" w:sz="4" w:space="0"/>
              <w:right w:val="single" w:color="auto" w:sz="12" w:space="0"/>
            </w:tcBorders>
            <w:noWrap w:val="0"/>
            <w:vAlign w:val="top"/>
          </w:tcPr>
          <w:p>
            <w:pPr>
              <w:rPr>
                <w:rFonts w:hint="eastAsia" w:ascii="仿宋" w:hAnsi="仿宋" w:eastAsia="仿宋" w:cs="仿宋_GB2312"/>
                <w:sz w:val="24"/>
                <w:szCs w:val="24"/>
              </w:rPr>
            </w:pPr>
          </w:p>
        </w:tc>
        <w:tc>
          <w:tcPr>
            <w:tcW w:w="4048" w:type="dxa"/>
            <w:tcBorders>
              <w:top w:val="single" w:color="auto" w:sz="4" w:space="0"/>
              <w:left w:val="single" w:color="auto" w:sz="12" w:space="0"/>
              <w:bottom w:val="single" w:color="auto" w:sz="4" w:space="0"/>
              <w:right w:val="single" w:color="auto" w:sz="12" w:space="0"/>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2.仪器设备的升级改造及租赁外单位的仪器设备而发生的费用</w:t>
            </w:r>
          </w:p>
        </w:tc>
        <w:tc>
          <w:tcPr>
            <w:tcW w:w="2537" w:type="dxa"/>
            <w:vMerge w:val="continue"/>
            <w:tcBorders>
              <w:left w:val="single" w:color="auto" w:sz="12" w:space="0"/>
              <w:right w:val="nil"/>
            </w:tcBorders>
            <w:noWrap w:val="0"/>
            <w:vAlign w:val="top"/>
          </w:tcPr>
          <w:p>
            <w:pPr>
              <w:rPr>
                <w:rFonts w:hint="eastAsia" w:ascii="仿宋" w:hAnsi="仿宋" w:eastAsia="仿宋" w:cs="仿宋_GB2312"/>
                <w:sz w:val="24"/>
                <w:szCs w:val="24"/>
              </w:rPr>
            </w:pP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180" w:hRule="atLeast"/>
        </w:trPr>
        <w:tc>
          <w:tcPr>
            <w:tcW w:w="719" w:type="dxa"/>
            <w:vMerge w:val="continue"/>
            <w:tcBorders>
              <w:top w:val="single" w:color="auto" w:sz="12" w:space="0"/>
              <w:left w:val="nil"/>
              <w:bottom w:val="single" w:color="auto" w:sz="4" w:space="0"/>
              <w:right w:val="single" w:color="auto" w:sz="12" w:space="0"/>
            </w:tcBorders>
            <w:noWrap w:val="0"/>
            <w:vAlign w:val="top"/>
          </w:tcPr>
          <w:p>
            <w:pPr>
              <w:rPr>
                <w:rFonts w:hint="eastAsia" w:ascii="仿宋" w:hAnsi="仿宋" w:eastAsia="仿宋" w:cs="仿宋_GB2312"/>
                <w:sz w:val="24"/>
                <w:szCs w:val="24"/>
              </w:rPr>
            </w:pPr>
          </w:p>
        </w:tc>
        <w:tc>
          <w:tcPr>
            <w:tcW w:w="1516" w:type="dxa"/>
            <w:vMerge w:val="continue"/>
            <w:tcBorders>
              <w:top w:val="single" w:color="auto" w:sz="12" w:space="0"/>
              <w:left w:val="single" w:color="auto" w:sz="12" w:space="0"/>
              <w:bottom w:val="single" w:color="auto" w:sz="4" w:space="0"/>
              <w:right w:val="single" w:color="auto" w:sz="12" w:space="0"/>
            </w:tcBorders>
            <w:noWrap w:val="0"/>
            <w:vAlign w:val="top"/>
          </w:tcPr>
          <w:p>
            <w:pPr>
              <w:rPr>
                <w:rFonts w:hint="eastAsia" w:ascii="仿宋" w:hAnsi="仿宋" w:eastAsia="仿宋" w:cs="仿宋_GB2312"/>
                <w:sz w:val="24"/>
                <w:szCs w:val="24"/>
              </w:rPr>
            </w:pPr>
          </w:p>
        </w:tc>
        <w:tc>
          <w:tcPr>
            <w:tcW w:w="4048" w:type="dxa"/>
            <w:tcBorders>
              <w:top w:val="single" w:color="auto" w:sz="4" w:space="0"/>
              <w:left w:val="single" w:color="auto" w:sz="12" w:space="0"/>
              <w:bottom w:val="single" w:color="auto" w:sz="4" w:space="0"/>
              <w:right w:val="single" w:color="auto" w:sz="12" w:space="0"/>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3.购买的生物资产</w:t>
            </w:r>
          </w:p>
        </w:tc>
        <w:tc>
          <w:tcPr>
            <w:tcW w:w="2537" w:type="dxa"/>
            <w:vMerge w:val="continue"/>
            <w:tcBorders>
              <w:left w:val="single" w:color="auto" w:sz="12" w:space="0"/>
              <w:bottom w:val="single" w:color="auto" w:sz="4" w:space="0"/>
              <w:right w:val="nil"/>
            </w:tcBorders>
            <w:noWrap w:val="0"/>
            <w:vAlign w:val="top"/>
          </w:tcPr>
          <w:p>
            <w:pPr>
              <w:rPr>
                <w:rFonts w:hint="eastAsia" w:ascii="仿宋" w:hAnsi="仿宋" w:eastAsia="仿宋" w:cs="仿宋_GB2312"/>
                <w:sz w:val="24"/>
                <w:szCs w:val="24"/>
              </w:rPr>
            </w:pP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45" w:hRule="atLeast"/>
        </w:trPr>
        <w:tc>
          <w:tcPr>
            <w:tcW w:w="719" w:type="dxa"/>
            <w:vMerge w:val="restart"/>
            <w:tcBorders>
              <w:top w:val="nil"/>
              <w:left w:val="nil"/>
              <w:bottom w:val="single" w:color="auto" w:sz="4" w:space="0"/>
              <w:right w:val="single" w:color="auto" w:sz="12" w:space="0"/>
            </w:tcBorders>
            <w:noWrap w:val="0"/>
            <w:vAlign w:val="top"/>
          </w:tcPr>
          <w:p>
            <w:pPr>
              <w:jc w:val="center"/>
              <w:rPr>
                <w:rFonts w:hint="eastAsia" w:ascii="仿宋" w:hAnsi="仿宋" w:eastAsia="仿宋" w:cs="仿宋_GB2312"/>
                <w:sz w:val="24"/>
                <w:szCs w:val="24"/>
              </w:rPr>
            </w:pPr>
            <w:r>
              <w:rPr>
                <w:rFonts w:hint="eastAsia" w:ascii="仿宋" w:hAnsi="仿宋" w:eastAsia="仿宋" w:cs="仿宋_GB2312"/>
                <w:kern w:val="2"/>
                <w:sz w:val="24"/>
                <w:szCs w:val="24"/>
                <w:lang w:eastAsia="zh-CN" w:bidi="ar"/>
              </w:rPr>
              <w:t>2</w:t>
            </w:r>
          </w:p>
          <w:p>
            <w:pPr>
              <w:jc w:val="center"/>
              <w:rPr>
                <w:rFonts w:hint="eastAsia" w:ascii="仿宋" w:hAnsi="仿宋" w:eastAsia="仿宋" w:cs="仿宋_GB2312"/>
                <w:sz w:val="24"/>
                <w:szCs w:val="24"/>
              </w:rPr>
            </w:pPr>
          </w:p>
        </w:tc>
        <w:tc>
          <w:tcPr>
            <w:tcW w:w="1516" w:type="dxa"/>
            <w:vMerge w:val="restart"/>
            <w:tcBorders>
              <w:top w:val="nil"/>
              <w:left w:val="single" w:color="auto" w:sz="12" w:space="0"/>
              <w:bottom w:val="single" w:color="auto" w:sz="4" w:space="0"/>
              <w:right w:val="single" w:color="auto" w:sz="12" w:space="0"/>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材料费</w:t>
            </w:r>
          </w:p>
        </w:tc>
        <w:tc>
          <w:tcPr>
            <w:tcW w:w="4048" w:type="dxa"/>
            <w:tcBorders>
              <w:top w:val="nil"/>
              <w:left w:val="single" w:color="auto" w:sz="12" w:space="0"/>
              <w:bottom w:val="single" w:color="auto" w:sz="4" w:space="0"/>
              <w:right w:val="single" w:color="auto" w:sz="12" w:space="0"/>
            </w:tcBorders>
            <w:noWrap w:val="0"/>
            <w:vAlign w:val="top"/>
          </w:tcPr>
          <w:p>
            <w:pPr>
              <w:jc w:val="left"/>
              <w:rPr>
                <w:rFonts w:hint="eastAsia" w:ascii="仿宋" w:hAnsi="仿宋" w:eastAsia="仿宋" w:cs="仿宋_GB2312"/>
                <w:kern w:val="0"/>
                <w:sz w:val="24"/>
                <w:szCs w:val="24"/>
              </w:rPr>
            </w:pPr>
            <w:r>
              <w:rPr>
                <w:rFonts w:hint="eastAsia" w:ascii="仿宋" w:hAnsi="仿宋" w:eastAsia="仿宋" w:cs="仿宋_GB2312"/>
                <w:kern w:val="0"/>
                <w:sz w:val="24"/>
                <w:szCs w:val="24"/>
                <w:lang w:eastAsia="zh-CN" w:bidi="ar"/>
              </w:rPr>
              <w:t>1.消耗的各种原材料、辅助材料等，低值易耗品的采购及运输、装卸、整理等费用</w:t>
            </w:r>
          </w:p>
        </w:tc>
        <w:tc>
          <w:tcPr>
            <w:tcW w:w="2537" w:type="dxa"/>
            <w:vMerge w:val="restart"/>
            <w:tcBorders>
              <w:top w:val="nil"/>
              <w:left w:val="single" w:color="auto" w:sz="12" w:space="0"/>
              <w:right w:val="nil"/>
            </w:tcBorders>
            <w:noWrap w:val="0"/>
            <w:vAlign w:val="top"/>
          </w:tcPr>
          <w:p>
            <w:pPr>
              <w:rPr>
                <w:rFonts w:hint="eastAsia" w:ascii="仿宋" w:hAnsi="仿宋" w:eastAsia="仿宋" w:cs="仿宋_GB2312"/>
                <w:sz w:val="24"/>
                <w:szCs w:val="24"/>
              </w:rPr>
            </w:pP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88" w:hRule="atLeast"/>
        </w:trPr>
        <w:tc>
          <w:tcPr>
            <w:tcW w:w="719" w:type="dxa"/>
            <w:vMerge w:val="continue"/>
            <w:tcBorders>
              <w:top w:val="nil"/>
              <w:left w:val="nil"/>
              <w:bottom w:val="single" w:color="auto" w:sz="4" w:space="0"/>
              <w:right w:val="single" w:color="auto" w:sz="12" w:space="0"/>
            </w:tcBorders>
            <w:noWrap w:val="0"/>
            <w:vAlign w:val="top"/>
          </w:tcPr>
          <w:p>
            <w:pPr>
              <w:rPr>
                <w:rFonts w:hint="eastAsia" w:ascii="仿宋" w:hAnsi="仿宋" w:eastAsia="仿宋" w:cs="仿宋_GB2312"/>
                <w:sz w:val="24"/>
                <w:szCs w:val="24"/>
              </w:rPr>
            </w:pPr>
          </w:p>
        </w:tc>
        <w:tc>
          <w:tcPr>
            <w:tcW w:w="1516" w:type="dxa"/>
            <w:vMerge w:val="continue"/>
            <w:tcBorders>
              <w:top w:val="nil"/>
              <w:left w:val="single" w:color="auto" w:sz="12" w:space="0"/>
              <w:bottom w:val="single" w:color="auto" w:sz="4" w:space="0"/>
              <w:right w:val="single" w:color="auto" w:sz="12" w:space="0"/>
            </w:tcBorders>
            <w:noWrap w:val="0"/>
            <w:vAlign w:val="top"/>
          </w:tcPr>
          <w:p>
            <w:pPr>
              <w:rPr>
                <w:rFonts w:hint="eastAsia" w:ascii="仿宋" w:hAnsi="仿宋" w:eastAsia="仿宋" w:cs="仿宋_GB2312"/>
                <w:sz w:val="24"/>
                <w:szCs w:val="24"/>
              </w:rPr>
            </w:pPr>
          </w:p>
        </w:tc>
        <w:tc>
          <w:tcPr>
            <w:tcW w:w="4048" w:type="dxa"/>
            <w:tcBorders>
              <w:top w:val="single" w:color="auto" w:sz="4" w:space="0"/>
              <w:left w:val="single" w:color="auto" w:sz="12" w:space="0"/>
              <w:bottom w:val="single" w:color="auto" w:sz="4" w:space="0"/>
              <w:right w:val="single" w:color="auto" w:sz="12" w:space="0"/>
            </w:tcBorders>
            <w:noWrap w:val="0"/>
            <w:vAlign w:val="top"/>
          </w:tcPr>
          <w:p>
            <w:pPr>
              <w:jc w:val="left"/>
              <w:rPr>
                <w:rFonts w:hint="eastAsia" w:ascii="仿宋" w:hAnsi="仿宋" w:eastAsia="仿宋" w:cs="仿宋_GB2312"/>
                <w:kern w:val="0"/>
                <w:sz w:val="24"/>
                <w:szCs w:val="24"/>
              </w:rPr>
            </w:pPr>
            <w:r>
              <w:rPr>
                <w:rFonts w:hint="eastAsia" w:ascii="仿宋" w:hAnsi="仿宋" w:eastAsia="仿宋" w:cs="仿宋_GB2312"/>
                <w:kern w:val="0"/>
                <w:sz w:val="24"/>
                <w:szCs w:val="24"/>
                <w:lang w:eastAsia="zh-CN" w:bidi="ar"/>
              </w:rPr>
              <w:t>2.试验(或区试、示范)用种子、苗木、活体动物、生产资料等</w:t>
            </w:r>
          </w:p>
        </w:tc>
        <w:tc>
          <w:tcPr>
            <w:tcW w:w="2537" w:type="dxa"/>
            <w:vMerge w:val="continue"/>
            <w:tcBorders>
              <w:left w:val="single" w:color="auto" w:sz="12" w:space="0"/>
              <w:bottom w:val="single" w:color="auto" w:sz="4" w:space="0"/>
              <w:right w:val="nil"/>
            </w:tcBorders>
            <w:noWrap w:val="0"/>
            <w:vAlign w:val="top"/>
          </w:tcPr>
          <w:p>
            <w:pPr>
              <w:rPr>
                <w:rFonts w:hint="eastAsia" w:ascii="仿宋" w:hAnsi="仿宋" w:eastAsia="仿宋" w:cs="仿宋_GB2312"/>
                <w:sz w:val="24"/>
                <w:szCs w:val="24"/>
              </w:rPr>
            </w:pP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40" w:hRule="atLeast"/>
        </w:trPr>
        <w:tc>
          <w:tcPr>
            <w:tcW w:w="719" w:type="dxa"/>
            <w:tcBorders>
              <w:top w:val="nil"/>
              <w:left w:val="nil"/>
              <w:bottom w:val="single" w:color="auto" w:sz="4" w:space="0"/>
              <w:right w:val="single" w:color="auto" w:sz="12" w:space="0"/>
            </w:tcBorders>
            <w:noWrap w:val="0"/>
            <w:vAlign w:val="top"/>
          </w:tcPr>
          <w:p>
            <w:pPr>
              <w:jc w:val="center"/>
              <w:rPr>
                <w:rFonts w:hint="eastAsia" w:ascii="仿宋" w:hAnsi="仿宋" w:eastAsia="仿宋" w:cs="仿宋_GB2312"/>
                <w:sz w:val="24"/>
                <w:szCs w:val="24"/>
              </w:rPr>
            </w:pPr>
            <w:r>
              <w:rPr>
                <w:rFonts w:hint="eastAsia" w:ascii="仿宋" w:hAnsi="仿宋" w:eastAsia="仿宋" w:cs="仿宋_GB2312"/>
                <w:kern w:val="2"/>
                <w:sz w:val="24"/>
                <w:szCs w:val="24"/>
                <w:lang w:eastAsia="zh-CN" w:bidi="ar"/>
              </w:rPr>
              <w:t>3</w:t>
            </w:r>
          </w:p>
          <w:p>
            <w:pPr>
              <w:jc w:val="center"/>
              <w:rPr>
                <w:rFonts w:hint="eastAsia" w:ascii="仿宋" w:hAnsi="仿宋" w:eastAsia="仿宋" w:cs="仿宋_GB2312"/>
                <w:sz w:val="24"/>
                <w:szCs w:val="24"/>
              </w:rPr>
            </w:pPr>
          </w:p>
        </w:tc>
        <w:tc>
          <w:tcPr>
            <w:tcW w:w="1516" w:type="dxa"/>
            <w:tcBorders>
              <w:top w:val="nil"/>
              <w:left w:val="single" w:color="auto" w:sz="12" w:space="0"/>
              <w:bottom w:val="single" w:color="auto" w:sz="4" w:space="0"/>
              <w:right w:val="single" w:color="auto" w:sz="12" w:space="0"/>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测试分析费</w:t>
            </w:r>
          </w:p>
        </w:tc>
        <w:tc>
          <w:tcPr>
            <w:tcW w:w="4048" w:type="dxa"/>
            <w:tcBorders>
              <w:top w:val="nil"/>
              <w:left w:val="single" w:color="auto" w:sz="12" w:space="0"/>
              <w:bottom w:val="single" w:color="auto" w:sz="4" w:space="0"/>
              <w:right w:val="single" w:color="auto" w:sz="12" w:space="0"/>
            </w:tcBorders>
            <w:noWrap w:val="0"/>
            <w:vAlign w:val="top"/>
          </w:tcPr>
          <w:p>
            <w:pPr>
              <w:widowControl/>
              <w:jc w:val="left"/>
              <w:rPr>
                <w:rFonts w:hint="eastAsia" w:ascii="仿宋" w:hAnsi="仿宋" w:eastAsia="仿宋" w:cs="仿宋_GB2312"/>
                <w:kern w:val="0"/>
                <w:sz w:val="24"/>
                <w:szCs w:val="24"/>
              </w:rPr>
            </w:pPr>
            <w:r>
              <w:rPr>
                <w:rFonts w:hint="eastAsia" w:ascii="仿宋" w:hAnsi="仿宋" w:eastAsia="仿宋" w:cs="仿宋_GB2312"/>
                <w:kern w:val="0"/>
                <w:sz w:val="24"/>
                <w:szCs w:val="24"/>
                <w:lang w:eastAsia="zh-CN" w:bidi="ar"/>
              </w:rPr>
              <w:t>项目实施过程中支付的检验、测试、化验及加工等费用</w:t>
            </w:r>
          </w:p>
        </w:tc>
        <w:tc>
          <w:tcPr>
            <w:tcW w:w="2537" w:type="dxa"/>
            <w:tcBorders>
              <w:top w:val="nil"/>
              <w:left w:val="single" w:color="auto" w:sz="12" w:space="0"/>
              <w:bottom w:val="single" w:color="auto" w:sz="4" w:space="0"/>
              <w:right w:val="nil"/>
            </w:tcBorders>
            <w:noWrap w:val="0"/>
            <w:vAlign w:val="top"/>
          </w:tcPr>
          <w:p>
            <w:pPr>
              <w:rPr>
                <w:rFonts w:hint="eastAsia" w:ascii="仿宋" w:hAnsi="仿宋" w:eastAsia="仿宋" w:cs="仿宋_GB2312"/>
                <w:sz w:val="24"/>
                <w:szCs w:val="24"/>
              </w:rPr>
            </w:pP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95" w:hRule="atLeast"/>
        </w:trPr>
        <w:tc>
          <w:tcPr>
            <w:tcW w:w="719" w:type="dxa"/>
            <w:tcBorders>
              <w:top w:val="nil"/>
              <w:left w:val="nil"/>
              <w:bottom w:val="single" w:color="auto" w:sz="4" w:space="0"/>
              <w:right w:val="single" w:color="auto" w:sz="12" w:space="0"/>
            </w:tcBorders>
            <w:noWrap w:val="0"/>
            <w:vAlign w:val="top"/>
          </w:tcPr>
          <w:p>
            <w:pPr>
              <w:jc w:val="center"/>
              <w:rPr>
                <w:rFonts w:hint="eastAsia" w:ascii="仿宋" w:hAnsi="仿宋" w:eastAsia="仿宋" w:cs="仿宋_GB2312"/>
                <w:sz w:val="24"/>
                <w:szCs w:val="24"/>
              </w:rPr>
            </w:pPr>
            <w:r>
              <w:rPr>
                <w:rFonts w:hint="eastAsia" w:ascii="仿宋" w:hAnsi="仿宋" w:eastAsia="仿宋" w:cs="仿宋_GB2312"/>
                <w:kern w:val="2"/>
                <w:sz w:val="24"/>
                <w:szCs w:val="24"/>
                <w:lang w:eastAsia="zh-CN" w:bidi="ar"/>
              </w:rPr>
              <w:t>4</w:t>
            </w:r>
          </w:p>
          <w:p>
            <w:pPr>
              <w:jc w:val="center"/>
              <w:rPr>
                <w:rFonts w:hint="eastAsia" w:ascii="仿宋" w:hAnsi="仿宋" w:eastAsia="仿宋" w:cs="仿宋_GB2312"/>
                <w:sz w:val="24"/>
                <w:szCs w:val="24"/>
              </w:rPr>
            </w:pPr>
          </w:p>
        </w:tc>
        <w:tc>
          <w:tcPr>
            <w:tcW w:w="1516" w:type="dxa"/>
            <w:tcBorders>
              <w:top w:val="nil"/>
              <w:left w:val="single" w:color="auto" w:sz="12" w:space="0"/>
              <w:bottom w:val="single" w:color="auto" w:sz="4" w:space="0"/>
              <w:right w:val="single" w:color="auto" w:sz="12" w:space="0"/>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燃料动力费</w:t>
            </w:r>
          </w:p>
        </w:tc>
        <w:tc>
          <w:tcPr>
            <w:tcW w:w="4048" w:type="dxa"/>
            <w:tcBorders>
              <w:top w:val="nil"/>
              <w:left w:val="single" w:color="auto" w:sz="12" w:space="0"/>
              <w:bottom w:val="single" w:color="auto" w:sz="4" w:space="0"/>
              <w:right w:val="single" w:color="auto" w:sz="12" w:space="0"/>
            </w:tcBorders>
            <w:noWrap w:val="0"/>
            <w:vAlign w:val="top"/>
          </w:tcPr>
          <w:p>
            <w:pPr>
              <w:widowControl/>
              <w:jc w:val="left"/>
              <w:rPr>
                <w:rFonts w:hint="eastAsia" w:ascii="仿宋" w:hAnsi="仿宋" w:eastAsia="仿宋" w:cs="仿宋_GB2312"/>
                <w:kern w:val="0"/>
                <w:sz w:val="24"/>
                <w:szCs w:val="24"/>
              </w:rPr>
            </w:pPr>
            <w:r>
              <w:rPr>
                <w:rFonts w:hint="eastAsia" w:ascii="仿宋" w:hAnsi="仿宋" w:eastAsia="仿宋" w:cs="仿宋_GB2312"/>
                <w:kern w:val="0"/>
                <w:sz w:val="24"/>
                <w:szCs w:val="24"/>
                <w:lang w:eastAsia="zh-CN" w:bidi="ar"/>
              </w:rPr>
              <w:t>相关大型仪器设备、专用装置及实验用地等单独计量的水、电、气、燃料消耗费用等</w:t>
            </w:r>
          </w:p>
        </w:tc>
        <w:tc>
          <w:tcPr>
            <w:tcW w:w="2537" w:type="dxa"/>
            <w:tcBorders>
              <w:top w:val="nil"/>
              <w:left w:val="single" w:color="auto" w:sz="12" w:space="0"/>
              <w:bottom w:val="single" w:color="auto" w:sz="4" w:space="0"/>
              <w:right w:val="nil"/>
            </w:tcBorders>
            <w:noWrap w:val="0"/>
            <w:vAlign w:val="top"/>
          </w:tcPr>
          <w:p>
            <w:pPr>
              <w:rPr>
                <w:rFonts w:hint="eastAsia" w:ascii="仿宋" w:hAnsi="仿宋" w:eastAsia="仿宋" w:cs="仿宋_GB2312"/>
                <w:sz w:val="24"/>
                <w:szCs w:val="24"/>
              </w:rPr>
            </w:pP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719" w:type="dxa"/>
            <w:tcBorders>
              <w:top w:val="nil"/>
              <w:left w:val="nil"/>
              <w:bottom w:val="nil"/>
              <w:right w:val="single" w:color="auto" w:sz="12" w:space="0"/>
            </w:tcBorders>
            <w:noWrap w:val="0"/>
            <w:vAlign w:val="top"/>
          </w:tcPr>
          <w:p>
            <w:pPr>
              <w:jc w:val="center"/>
              <w:rPr>
                <w:rFonts w:hint="eastAsia" w:ascii="仿宋" w:hAnsi="仿宋" w:eastAsia="仿宋" w:cs="仿宋_GB2312"/>
                <w:sz w:val="24"/>
                <w:szCs w:val="24"/>
              </w:rPr>
            </w:pPr>
            <w:r>
              <w:rPr>
                <w:rFonts w:hint="eastAsia" w:ascii="仿宋" w:hAnsi="仿宋" w:eastAsia="仿宋" w:cs="仿宋_GB2312"/>
                <w:kern w:val="2"/>
                <w:sz w:val="24"/>
                <w:szCs w:val="24"/>
                <w:lang w:eastAsia="zh-CN" w:bidi="ar"/>
              </w:rPr>
              <w:t>5</w:t>
            </w:r>
          </w:p>
          <w:p>
            <w:pPr>
              <w:jc w:val="center"/>
              <w:rPr>
                <w:rFonts w:hint="eastAsia" w:ascii="仿宋" w:hAnsi="仿宋" w:eastAsia="仿宋" w:cs="仿宋_GB2312"/>
                <w:sz w:val="24"/>
                <w:szCs w:val="24"/>
              </w:rPr>
            </w:pPr>
          </w:p>
        </w:tc>
        <w:tc>
          <w:tcPr>
            <w:tcW w:w="1516" w:type="dxa"/>
            <w:tcBorders>
              <w:top w:val="nil"/>
              <w:left w:val="single" w:color="auto" w:sz="12" w:space="0"/>
              <w:bottom w:val="nil"/>
              <w:right w:val="single" w:color="auto" w:sz="12" w:space="0"/>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差旅费</w:t>
            </w:r>
          </w:p>
        </w:tc>
        <w:tc>
          <w:tcPr>
            <w:tcW w:w="4048" w:type="dxa"/>
            <w:tcBorders>
              <w:top w:val="nil"/>
              <w:left w:val="single" w:color="auto" w:sz="12" w:space="0"/>
              <w:bottom w:val="nil"/>
              <w:right w:val="single" w:color="auto" w:sz="12" w:space="0"/>
            </w:tcBorders>
            <w:noWrap w:val="0"/>
            <w:vAlign w:val="top"/>
          </w:tcPr>
          <w:p>
            <w:pPr>
              <w:widowControl/>
              <w:jc w:val="left"/>
              <w:rPr>
                <w:rFonts w:hint="eastAsia" w:ascii="仿宋" w:hAnsi="仿宋" w:eastAsia="仿宋" w:cs="仿宋_GB2312"/>
                <w:kern w:val="0"/>
                <w:sz w:val="24"/>
                <w:szCs w:val="24"/>
              </w:rPr>
            </w:pPr>
            <w:r>
              <w:rPr>
                <w:rFonts w:hint="eastAsia" w:ascii="仿宋" w:hAnsi="仿宋" w:eastAsia="仿宋" w:cs="仿宋_GB2312"/>
                <w:kern w:val="0"/>
                <w:sz w:val="24"/>
                <w:szCs w:val="24"/>
                <w:lang w:eastAsia="zh-CN" w:bidi="ar"/>
              </w:rPr>
              <w:t>项目执行过程中开展科学实验资金试验)、科学考察、业务调研、学术交流等所发生的外埠差旅费、市内交通费用等</w:t>
            </w:r>
          </w:p>
        </w:tc>
        <w:tc>
          <w:tcPr>
            <w:tcW w:w="2537" w:type="dxa"/>
            <w:vMerge w:val="restart"/>
            <w:tcBorders>
              <w:top w:val="nil"/>
              <w:left w:val="single" w:color="auto" w:sz="12" w:space="0"/>
              <w:right w:val="nil"/>
            </w:tcBorders>
            <w:noWrap w:val="0"/>
            <w:vAlign w:val="top"/>
          </w:tcPr>
          <w:p>
            <w:pPr>
              <w:rPr>
                <w:rFonts w:ascii="仿宋" w:hAnsi="仿宋" w:eastAsia="仿宋" w:cs="仿宋_GB2312"/>
                <w:sz w:val="24"/>
                <w:szCs w:val="24"/>
              </w:rPr>
            </w:pPr>
            <w:r>
              <w:rPr>
                <w:rFonts w:hint="eastAsia" w:ascii="仿宋" w:hAnsi="仿宋" w:eastAsia="仿宋" w:cs="仿宋_GB2312"/>
                <w:kern w:val="2"/>
                <w:sz w:val="24"/>
                <w:szCs w:val="24"/>
                <w:lang w:eastAsia="zh-CN" w:bidi="ar"/>
              </w:rPr>
              <w:t>三项费用可以打通使用。按照差旅费、</w:t>
            </w:r>
            <w:r>
              <w:rPr>
                <w:rFonts w:hint="eastAsia" w:ascii="仿宋" w:hAnsi="仿宋" w:eastAsia="仿宋" w:cs="仿宋_GB2312"/>
                <w:kern w:val="0"/>
                <w:sz w:val="24"/>
                <w:szCs w:val="24"/>
                <w:lang w:eastAsia="zh-CN" w:bidi="ar"/>
              </w:rPr>
              <w:t>管理办法</w:t>
            </w:r>
            <w:r>
              <w:rPr>
                <w:rFonts w:hint="eastAsia" w:ascii="仿宋" w:hAnsi="仿宋" w:eastAsia="仿宋" w:cs="仿宋_GB2312"/>
                <w:kern w:val="2"/>
                <w:sz w:val="24"/>
                <w:szCs w:val="24"/>
                <w:lang w:eastAsia="zh-CN" w:bidi="ar"/>
              </w:rPr>
              <w:t>开支标准执行；国际交流执行</w:t>
            </w:r>
            <w:r>
              <w:rPr>
                <w:rFonts w:hint="eastAsia" w:ascii="仿宋" w:hAnsi="仿宋" w:eastAsia="仿宋" w:cs="仿宋_GB2312"/>
                <w:kern w:val="0"/>
                <w:sz w:val="24"/>
                <w:szCs w:val="24"/>
                <w:lang w:eastAsia="zh-CN" w:bidi="ar"/>
              </w:rPr>
              <w:t>国家及学校外事管理规定和费用支出标准</w:t>
            </w:r>
          </w:p>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执行</w:t>
            </w: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40" w:hRule="atLeast"/>
        </w:trPr>
        <w:tc>
          <w:tcPr>
            <w:tcW w:w="719" w:type="dxa"/>
            <w:tcBorders>
              <w:top w:val="single" w:color="auto" w:sz="4" w:space="0"/>
              <w:left w:val="nil"/>
              <w:bottom w:val="single" w:color="auto" w:sz="4" w:space="0"/>
              <w:right w:val="single" w:color="auto" w:sz="12" w:space="0"/>
            </w:tcBorders>
            <w:noWrap w:val="0"/>
            <w:vAlign w:val="top"/>
          </w:tcPr>
          <w:p>
            <w:pPr>
              <w:jc w:val="center"/>
              <w:rPr>
                <w:rFonts w:hint="eastAsia" w:ascii="仿宋" w:hAnsi="仿宋" w:eastAsia="仿宋" w:cs="仿宋_GB2312"/>
                <w:sz w:val="24"/>
                <w:szCs w:val="24"/>
              </w:rPr>
            </w:pPr>
            <w:r>
              <w:rPr>
                <w:rFonts w:hint="eastAsia" w:ascii="仿宋" w:hAnsi="仿宋" w:eastAsia="仿宋" w:cs="仿宋_GB2312"/>
                <w:kern w:val="2"/>
                <w:sz w:val="24"/>
                <w:szCs w:val="24"/>
                <w:lang w:eastAsia="zh-CN" w:bidi="ar"/>
              </w:rPr>
              <w:t>6</w:t>
            </w:r>
          </w:p>
          <w:p>
            <w:pPr>
              <w:jc w:val="center"/>
              <w:rPr>
                <w:rFonts w:hint="eastAsia" w:ascii="仿宋" w:hAnsi="仿宋" w:eastAsia="仿宋" w:cs="仿宋_GB2312"/>
                <w:sz w:val="24"/>
                <w:szCs w:val="24"/>
              </w:rPr>
            </w:pPr>
          </w:p>
        </w:tc>
        <w:tc>
          <w:tcPr>
            <w:tcW w:w="1516" w:type="dxa"/>
            <w:tcBorders>
              <w:top w:val="single" w:color="auto" w:sz="4" w:space="0"/>
              <w:left w:val="single" w:color="auto" w:sz="12" w:space="0"/>
              <w:bottom w:val="single" w:color="auto" w:sz="4" w:space="0"/>
              <w:right w:val="single" w:color="auto" w:sz="12" w:space="0"/>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会议费</w:t>
            </w:r>
          </w:p>
        </w:tc>
        <w:tc>
          <w:tcPr>
            <w:tcW w:w="4048" w:type="dxa"/>
            <w:tcBorders>
              <w:top w:val="single" w:color="auto" w:sz="4" w:space="0"/>
              <w:left w:val="single" w:color="auto" w:sz="12" w:space="0"/>
              <w:bottom w:val="single" w:color="auto" w:sz="4" w:space="0"/>
              <w:right w:val="single" w:color="auto" w:sz="12" w:space="0"/>
            </w:tcBorders>
            <w:noWrap w:val="0"/>
            <w:vAlign w:val="top"/>
          </w:tcPr>
          <w:p>
            <w:pPr>
              <w:widowControl/>
              <w:jc w:val="left"/>
              <w:rPr>
                <w:rFonts w:hint="eastAsia" w:ascii="仿宋" w:hAnsi="仿宋" w:eastAsia="仿宋" w:cs="仿宋_GB2312"/>
                <w:kern w:val="0"/>
                <w:sz w:val="24"/>
                <w:szCs w:val="24"/>
              </w:rPr>
            </w:pPr>
            <w:r>
              <w:rPr>
                <w:rFonts w:hint="eastAsia" w:ascii="仿宋" w:hAnsi="仿宋" w:eastAsia="仿宋" w:cs="仿宋_GB2312"/>
                <w:kern w:val="0"/>
                <w:sz w:val="24"/>
                <w:szCs w:val="24"/>
                <w:lang w:eastAsia="zh-CN" w:bidi="ar"/>
              </w:rPr>
              <w:t>组织开展学术研讨、咨询以及协调项目等课题活动而发生的会议费用</w:t>
            </w:r>
          </w:p>
        </w:tc>
        <w:tc>
          <w:tcPr>
            <w:tcW w:w="2537" w:type="dxa"/>
            <w:vMerge w:val="continue"/>
            <w:tcBorders>
              <w:left w:val="single" w:color="auto" w:sz="12" w:space="0"/>
              <w:right w:val="nil"/>
            </w:tcBorders>
            <w:noWrap w:val="0"/>
            <w:vAlign w:val="top"/>
          </w:tcPr>
          <w:p>
            <w:pPr>
              <w:rPr>
                <w:rFonts w:hint="eastAsia" w:ascii="仿宋" w:hAnsi="仿宋" w:eastAsia="仿宋" w:cs="仿宋_GB2312"/>
                <w:sz w:val="24"/>
                <w:szCs w:val="24"/>
              </w:rPr>
            </w:pP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1110" w:hRule="atLeast"/>
        </w:trPr>
        <w:tc>
          <w:tcPr>
            <w:tcW w:w="719" w:type="dxa"/>
            <w:tcBorders>
              <w:top w:val="nil"/>
              <w:left w:val="nil"/>
              <w:bottom w:val="single" w:color="auto" w:sz="4" w:space="0"/>
              <w:right w:val="single" w:color="auto" w:sz="12" w:space="0"/>
            </w:tcBorders>
            <w:noWrap w:val="0"/>
            <w:vAlign w:val="top"/>
          </w:tcPr>
          <w:p>
            <w:pPr>
              <w:jc w:val="center"/>
              <w:rPr>
                <w:rFonts w:hint="eastAsia" w:ascii="仿宋" w:hAnsi="仿宋" w:eastAsia="仿宋" w:cs="仿宋_GB2312"/>
                <w:sz w:val="24"/>
                <w:szCs w:val="24"/>
              </w:rPr>
            </w:pPr>
            <w:r>
              <w:rPr>
                <w:rFonts w:hint="eastAsia" w:ascii="仿宋" w:hAnsi="仿宋" w:eastAsia="仿宋" w:cs="仿宋_GB2312"/>
                <w:kern w:val="2"/>
                <w:sz w:val="24"/>
                <w:szCs w:val="24"/>
                <w:lang w:eastAsia="zh-CN" w:bidi="ar"/>
              </w:rPr>
              <w:t>7</w:t>
            </w:r>
          </w:p>
          <w:p>
            <w:pPr>
              <w:jc w:val="center"/>
              <w:rPr>
                <w:rFonts w:hint="eastAsia" w:ascii="仿宋" w:hAnsi="仿宋" w:eastAsia="仿宋" w:cs="仿宋_GB2312"/>
                <w:sz w:val="24"/>
                <w:szCs w:val="24"/>
              </w:rPr>
            </w:pPr>
          </w:p>
        </w:tc>
        <w:tc>
          <w:tcPr>
            <w:tcW w:w="1516" w:type="dxa"/>
            <w:tcBorders>
              <w:top w:val="nil"/>
              <w:left w:val="single" w:color="auto" w:sz="12" w:space="0"/>
              <w:bottom w:val="single" w:color="auto" w:sz="4" w:space="0"/>
              <w:right w:val="single" w:color="auto" w:sz="12" w:space="0"/>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国际合作与交流费</w:t>
            </w:r>
          </w:p>
        </w:tc>
        <w:tc>
          <w:tcPr>
            <w:tcW w:w="4048" w:type="dxa"/>
            <w:tcBorders>
              <w:top w:val="nil"/>
              <w:left w:val="single" w:color="auto" w:sz="12" w:space="0"/>
              <w:bottom w:val="single" w:color="auto" w:sz="4" w:space="0"/>
              <w:right w:val="single" w:color="auto" w:sz="12" w:space="0"/>
            </w:tcBorders>
            <w:noWrap w:val="0"/>
            <w:vAlign w:val="top"/>
          </w:tcPr>
          <w:p>
            <w:pPr>
              <w:widowControl/>
              <w:jc w:val="left"/>
              <w:rPr>
                <w:rFonts w:hint="eastAsia" w:ascii="仿宋" w:hAnsi="仿宋" w:eastAsia="仿宋" w:cs="仿宋_GB2312"/>
                <w:kern w:val="0"/>
                <w:sz w:val="24"/>
                <w:szCs w:val="24"/>
              </w:rPr>
            </w:pPr>
            <w:r>
              <w:rPr>
                <w:rFonts w:hint="eastAsia" w:ascii="仿宋" w:hAnsi="仿宋" w:eastAsia="仿宋" w:cs="仿宋_GB2312"/>
                <w:kern w:val="0"/>
                <w:sz w:val="24"/>
                <w:szCs w:val="24"/>
                <w:lang w:eastAsia="zh-CN" w:bidi="ar"/>
              </w:rPr>
              <w:t xml:space="preserve">项目组成员赴国外、港澳台地区及外国专家来华、港澳台专家来内地工作的费用 </w:t>
            </w:r>
          </w:p>
        </w:tc>
        <w:tc>
          <w:tcPr>
            <w:tcW w:w="2537" w:type="dxa"/>
            <w:vMerge w:val="continue"/>
            <w:tcBorders>
              <w:left w:val="single" w:color="auto" w:sz="12" w:space="0"/>
              <w:bottom w:val="single" w:color="auto" w:sz="4" w:space="0"/>
              <w:right w:val="nil"/>
            </w:tcBorders>
            <w:noWrap w:val="0"/>
            <w:vAlign w:val="top"/>
          </w:tcPr>
          <w:p>
            <w:pPr>
              <w:rPr>
                <w:rFonts w:hint="eastAsia" w:ascii="仿宋" w:hAnsi="仿宋" w:eastAsia="仿宋" w:cs="仿宋_GB2312"/>
                <w:sz w:val="24"/>
                <w:szCs w:val="24"/>
              </w:rPr>
            </w:pP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719" w:type="dxa"/>
            <w:tcBorders>
              <w:top w:val="nil"/>
              <w:left w:val="nil"/>
              <w:bottom w:val="single" w:color="auto" w:sz="4" w:space="0"/>
              <w:right w:val="single" w:color="auto" w:sz="12" w:space="0"/>
            </w:tcBorders>
            <w:noWrap w:val="0"/>
            <w:vAlign w:val="top"/>
          </w:tcPr>
          <w:p>
            <w:pPr>
              <w:jc w:val="center"/>
              <w:rPr>
                <w:rFonts w:hint="eastAsia" w:ascii="仿宋" w:hAnsi="仿宋" w:eastAsia="仿宋" w:cs="仿宋_GB2312"/>
                <w:sz w:val="24"/>
                <w:szCs w:val="24"/>
              </w:rPr>
            </w:pPr>
            <w:r>
              <w:rPr>
                <w:rFonts w:hint="eastAsia" w:ascii="仿宋" w:hAnsi="仿宋" w:eastAsia="仿宋" w:cs="仿宋_GB2312"/>
                <w:kern w:val="2"/>
                <w:sz w:val="24"/>
                <w:szCs w:val="24"/>
                <w:lang w:eastAsia="zh-CN" w:bidi="ar"/>
              </w:rPr>
              <w:t>8</w:t>
            </w:r>
          </w:p>
          <w:p>
            <w:pPr>
              <w:jc w:val="center"/>
              <w:rPr>
                <w:rFonts w:hint="eastAsia" w:ascii="仿宋" w:hAnsi="仿宋" w:eastAsia="仿宋" w:cs="仿宋_GB2312"/>
                <w:sz w:val="24"/>
                <w:szCs w:val="24"/>
              </w:rPr>
            </w:pPr>
          </w:p>
        </w:tc>
        <w:tc>
          <w:tcPr>
            <w:tcW w:w="1516" w:type="dxa"/>
            <w:tcBorders>
              <w:top w:val="nil"/>
              <w:left w:val="single" w:color="auto" w:sz="12" w:space="0"/>
              <w:bottom w:val="single" w:color="auto" w:sz="4" w:space="0"/>
              <w:right w:val="single" w:color="auto" w:sz="12" w:space="0"/>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出版/文献/信息传播/知识产权事务费</w:t>
            </w:r>
          </w:p>
        </w:tc>
        <w:tc>
          <w:tcPr>
            <w:tcW w:w="4048" w:type="dxa"/>
            <w:tcBorders>
              <w:top w:val="nil"/>
              <w:left w:val="single" w:color="auto" w:sz="12" w:space="0"/>
              <w:bottom w:val="single" w:color="auto" w:sz="4" w:space="0"/>
              <w:right w:val="single" w:color="auto" w:sz="12" w:space="0"/>
            </w:tcBorders>
            <w:noWrap w:val="0"/>
            <w:vAlign w:val="top"/>
          </w:tcPr>
          <w:p>
            <w:pPr>
              <w:widowControl/>
              <w:jc w:val="left"/>
              <w:rPr>
                <w:rFonts w:hint="eastAsia" w:ascii="仿宋" w:hAnsi="仿宋" w:eastAsia="仿宋" w:cs="仿宋_GB2312"/>
                <w:kern w:val="0"/>
                <w:sz w:val="24"/>
                <w:szCs w:val="24"/>
              </w:rPr>
            </w:pPr>
            <w:r>
              <w:rPr>
                <w:rFonts w:hint="eastAsia" w:ascii="仿宋" w:hAnsi="仿宋" w:eastAsia="仿宋" w:cs="仿宋_GB2312"/>
                <w:kern w:val="0"/>
                <w:sz w:val="24"/>
                <w:szCs w:val="24"/>
                <w:lang w:eastAsia="zh-CN" w:bidi="ar"/>
              </w:rPr>
              <w:t>项目执行过程中支付的出版费、资料费、印刷费、数据采集费、专用软件购买费、文献检索费、邮电费、专利申请及其他知识产权事务等费用</w:t>
            </w:r>
          </w:p>
        </w:tc>
        <w:tc>
          <w:tcPr>
            <w:tcW w:w="2537" w:type="dxa"/>
            <w:tcBorders>
              <w:top w:val="nil"/>
              <w:left w:val="single" w:color="auto" w:sz="12" w:space="0"/>
              <w:bottom w:val="single" w:color="auto" w:sz="4" w:space="0"/>
              <w:right w:val="nil"/>
            </w:tcBorders>
            <w:noWrap w:val="0"/>
            <w:vAlign w:val="top"/>
          </w:tcPr>
          <w:p>
            <w:pPr>
              <w:widowControl/>
              <w:jc w:val="left"/>
              <w:rPr>
                <w:rFonts w:hint="eastAsia" w:ascii="仿宋" w:hAnsi="仿宋" w:eastAsia="仿宋" w:cs="仿宋_GB2312"/>
                <w:kern w:val="0"/>
                <w:sz w:val="24"/>
                <w:szCs w:val="24"/>
              </w:rPr>
            </w:pPr>
            <w:r>
              <w:rPr>
                <w:rFonts w:hint="eastAsia" w:ascii="仿宋" w:hAnsi="仿宋" w:eastAsia="仿宋" w:cs="仿宋_GB2312"/>
                <w:kern w:val="0"/>
                <w:sz w:val="24"/>
                <w:szCs w:val="24"/>
                <w:lang w:eastAsia="zh-CN" w:bidi="ar"/>
              </w:rPr>
              <w:t>资料费是指资料收集、录入、复印、翻拍、翻译、图书资料购置、查新等费用；</w:t>
            </w:r>
          </w:p>
          <w:p>
            <w:pPr>
              <w:widowControl/>
              <w:jc w:val="left"/>
              <w:rPr>
                <w:rFonts w:hint="eastAsia" w:ascii="仿宋" w:hAnsi="仿宋" w:eastAsia="仿宋" w:cs="仿宋_GB2312"/>
                <w:kern w:val="0"/>
                <w:sz w:val="24"/>
                <w:szCs w:val="24"/>
              </w:rPr>
            </w:pPr>
            <w:r>
              <w:rPr>
                <w:rFonts w:hint="eastAsia" w:ascii="仿宋" w:hAnsi="仿宋" w:eastAsia="仿宋" w:cs="仿宋_GB2312"/>
                <w:kern w:val="0"/>
                <w:sz w:val="24"/>
                <w:szCs w:val="24"/>
                <w:lang w:eastAsia="zh-CN" w:bidi="ar"/>
              </w:rPr>
              <w:t>数据采集费是指问卷调查、数据跟踪采集、案例分析等费用</w:t>
            </w: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719" w:type="dxa"/>
            <w:vMerge w:val="restart"/>
            <w:tcBorders>
              <w:top w:val="single" w:color="auto" w:sz="4" w:space="0"/>
              <w:left w:val="nil"/>
              <w:bottom w:val="single" w:color="000000" w:sz="12" w:space="0"/>
              <w:right w:val="single" w:color="auto" w:sz="12" w:space="0"/>
            </w:tcBorders>
            <w:noWrap w:val="0"/>
            <w:vAlign w:val="top"/>
          </w:tcPr>
          <w:p>
            <w:pPr>
              <w:jc w:val="center"/>
              <w:rPr>
                <w:rFonts w:hint="eastAsia" w:ascii="仿宋" w:hAnsi="仿宋" w:eastAsia="仿宋" w:cs="仿宋_GB2312"/>
                <w:sz w:val="24"/>
                <w:szCs w:val="24"/>
              </w:rPr>
            </w:pPr>
            <w:r>
              <w:rPr>
                <w:rFonts w:hint="eastAsia" w:ascii="仿宋" w:hAnsi="仿宋" w:eastAsia="仿宋" w:cs="仿宋_GB2312"/>
                <w:kern w:val="2"/>
                <w:sz w:val="24"/>
                <w:szCs w:val="24"/>
                <w:lang w:eastAsia="zh-CN" w:bidi="ar"/>
              </w:rPr>
              <w:t>9</w:t>
            </w:r>
          </w:p>
          <w:p>
            <w:pPr>
              <w:jc w:val="center"/>
              <w:rPr>
                <w:rFonts w:hint="eastAsia" w:ascii="仿宋" w:hAnsi="仿宋" w:eastAsia="仿宋" w:cs="仿宋_GB2312"/>
                <w:sz w:val="24"/>
                <w:szCs w:val="24"/>
              </w:rPr>
            </w:pPr>
          </w:p>
        </w:tc>
        <w:tc>
          <w:tcPr>
            <w:tcW w:w="1516" w:type="dxa"/>
            <w:vMerge w:val="restart"/>
            <w:tcBorders>
              <w:top w:val="single" w:color="auto" w:sz="4" w:space="0"/>
              <w:left w:val="single" w:color="auto" w:sz="12" w:space="0"/>
              <w:bottom w:val="single" w:color="000000" w:sz="12" w:space="0"/>
              <w:right w:val="single" w:color="auto" w:sz="12" w:space="0"/>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劳务费</w:t>
            </w:r>
          </w:p>
        </w:tc>
        <w:tc>
          <w:tcPr>
            <w:tcW w:w="4048" w:type="dxa"/>
            <w:tcBorders>
              <w:top w:val="single" w:color="auto" w:sz="4" w:space="0"/>
              <w:left w:val="single" w:color="auto" w:sz="12" w:space="0"/>
              <w:bottom w:val="single" w:color="auto" w:sz="4" w:space="0"/>
              <w:right w:val="single" w:color="auto" w:sz="12" w:space="0"/>
            </w:tcBorders>
            <w:noWrap w:val="0"/>
            <w:vAlign w:val="top"/>
          </w:tcPr>
          <w:p>
            <w:pPr>
              <w:widowControl/>
              <w:jc w:val="left"/>
              <w:rPr>
                <w:rFonts w:hint="eastAsia" w:ascii="仿宋" w:hAnsi="仿宋" w:eastAsia="仿宋" w:cs="仿宋_GB2312"/>
                <w:kern w:val="0"/>
                <w:sz w:val="24"/>
                <w:szCs w:val="24"/>
              </w:rPr>
            </w:pPr>
            <w:r>
              <w:rPr>
                <w:rFonts w:hint="eastAsia" w:ascii="仿宋" w:hAnsi="仿宋" w:eastAsia="仿宋" w:cs="仿宋_GB2312"/>
                <w:kern w:val="0"/>
                <w:sz w:val="24"/>
                <w:szCs w:val="24"/>
                <w:lang w:eastAsia="zh-CN" w:bidi="ar"/>
              </w:rPr>
              <w:t>1.劳务费：是指支付给直接参加项目的没有工资性收入的在校研究生助研津贴和课题组临时聘用人员的劳务性费用及临聘人员社会保险费用</w:t>
            </w:r>
          </w:p>
        </w:tc>
        <w:tc>
          <w:tcPr>
            <w:tcW w:w="2537" w:type="dxa"/>
            <w:tcBorders>
              <w:top w:val="single" w:color="auto" w:sz="4" w:space="0"/>
              <w:left w:val="single" w:color="auto" w:sz="12" w:space="0"/>
              <w:bottom w:val="single" w:color="auto" w:sz="4" w:space="0"/>
              <w:right w:val="nil"/>
            </w:tcBorders>
            <w:noWrap w:val="0"/>
            <w:vAlign w:val="top"/>
          </w:tcPr>
          <w:p>
            <w:pPr>
              <w:widowControl/>
              <w:jc w:val="left"/>
              <w:rPr>
                <w:rFonts w:hint="eastAsia" w:ascii="仿宋" w:hAnsi="仿宋" w:eastAsia="仿宋" w:cs="仿宋_GB2312"/>
                <w:kern w:val="0"/>
                <w:sz w:val="24"/>
                <w:szCs w:val="24"/>
              </w:rPr>
            </w:pP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51" w:hRule="atLeast"/>
        </w:trPr>
        <w:tc>
          <w:tcPr>
            <w:tcW w:w="719" w:type="dxa"/>
            <w:vMerge w:val="continue"/>
            <w:tcBorders>
              <w:top w:val="single" w:color="auto" w:sz="4" w:space="0"/>
              <w:left w:val="nil"/>
              <w:bottom w:val="single" w:color="000000" w:sz="12" w:space="0"/>
              <w:right w:val="single" w:color="auto" w:sz="12" w:space="0"/>
            </w:tcBorders>
            <w:noWrap w:val="0"/>
            <w:vAlign w:val="top"/>
          </w:tcPr>
          <w:p>
            <w:pPr>
              <w:rPr>
                <w:rFonts w:hint="eastAsia" w:ascii="仿宋" w:hAnsi="仿宋" w:eastAsia="仿宋" w:cs="仿宋_GB2312"/>
                <w:sz w:val="24"/>
                <w:szCs w:val="24"/>
              </w:rPr>
            </w:pPr>
          </w:p>
        </w:tc>
        <w:tc>
          <w:tcPr>
            <w:tcW w:w="1516" w:type="dxa"/>
            <w:vMerge w:val="continue"/>
            <w:tcBorders>
              <w:top w:val="single" w:color="auto" w:sz="4" w:space="0"/>
              <w:left w:val="single" w:color="auto" w:sz="12" w:space="0"/>
              <w:bottom w:val="single" w:color="000000" w:sz="12" w:space="0"/>
              <w:right w:val="single" w:color="auto" w:sz="12" w:space="0"/>
            </w:tcBorders>
            <w:noWrap w:val="0"/>
            <w:vAlign w:val="top"/>
          </w:tcPr>
          <w:p>
            <w:pPr>
              <w:rPr>
                <w:rFonts w:hint="eastAsia" w:ascii="仿宋" w:hAnsi="仿宋" w:eastAsia="仿宋" w:cs="仿宋_GB2312"/>
                <w:sz w:val="24"/>
                <w:szCs w:val="24"/>
              </w:rPr>
            </w:pPr>
          </w:p>
        </w:tc>
        <w:tc>
          <w:tcPr>
            <w:tcW w:w="4048" w:type="dxa"/>
            <w:tcBorders>
              <w:top w:val="single" w:color="auto" w:sz="4" w:space="0"/>
              <w:left w:val="single" w:color="auto" w:sz="12" w:space="0"/>
              <w:right w:val="single" w:color="auto" w:sz="12" w:space="0"/>
            </w:tcBorders>
            <w:noWrap w:val="0"/>
            <w:vAlign w:val="top"/>
          </w:tcPr>
          <w:p>
            <w:pPr>
              <w:rPr>
                <w:rFonts w:hint="eastAsia" w:ascii="仿宋" w:hAnsi="仿宋" w:eastAsia="仿宋" w:cs="仿宋_GB2312"/>
                <w:kern w:val="0"/>
                <w:sz w:val="24"/>
                <w:szCs w:val="24"/>
              </w:rPr>
            </w:pPr>
            <w:r>
              <w:rPr>
                <w:rFonts w:hint="eastAsia" w:ascii="仿宋" w:hAnsi="仿宋" w:eastAsia="仿宋" w:cs="仿宋_GB2312"/>
                <w:kern w:val="0"/>
                <w:sz w:val="24"/>
                <w:szCs w:val="24"/>
                <w:lang w:eastAsia="zh-CN" w:bidi="ar"/>
              </w:rPr>
              <w:t>2.专家咨询费：指支付给临时聘请专家的咨询费/鉴定费/评审费等</w:t>
            </w:r>
          </w:p>
        </w:tc>
        <w:tc>
          <w:tcPr>
            <w:tcW w:w="2537" w:type="dxa"/>
            <w:tcBorders>
              <w:top w:val="single" w:color="auto" w:sz="4" w:space="0"/>
              <w:left w:val="single" w:color="auto" w:sz="12" w:space="0"/>
              <w:right w:val="nil"/>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不得支付给项目成员</w:t>
            </w: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719" w:type="dxa"/>
            <w:vMerge w:val="restart"/>
            <w:tcBorders>
              <w:top w:val="single" w:color="auto" w:sz="12" w:space="0"/>
              <w:left w:val="nil"/>
              <w:right w:val="single" w:color="auto" w:sz="12" w:space="0"/>
            </w:tcBorders>
            <w:noWrap w:val="0"/>
            <w:vAlign w:val="top"/>
          </w:tcPr>
          <w:p>
            <w:pPr>
              <w:jc w:val="center"/>
              <w:rPr>
                <w:rFonts w:hint="eastAsia" w:ascii="仿宋" w:hAnsi="仿宋" w:eastAsia="仿宋" w:cs="仿宋_GB2312"/>
                <w:sz w:val="24"/>
                <w:szCs w:val="24"/>
              </w:rPr>
            </w:pPr>
            <w:r>
              <w:rPr>
                <w:rFonts w:hint="eastAsia" w:ascii="仿宋" w:hAnsi="仿宋" w:eastAsia="仿宋" w:cs="仿宋_GB2312"/>
                <w:kern w:val="2"/>
                <w:sz w:val="24"/>
                <w:szCs w:val="24"/>
                <w:lang w:eastAsia="zh-CN" w:bidi="ar"/>
              </w:rPr>
              <w:t>10</w:t>
            </w:r>
          </w:p>
        </w:tc>
        <w:tc>
          <w:tcPr>
            <w:tcW w:w="1516" w:type="dxa"/>
            <w:vMerge w:val="restart"/>
            <w:tcBorders>
              <w:top w:val="single" w:color="auto" w:sz="12" w:space="0"/>
              <w:left w:val="single" w:color="auto" w:sz="12" w:space="0"/>
              <w:right w:val="single" w:color="auto" w:sz="12" w:space="0"/>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其他业务费</w:t>
            </w:r>
          </w:p>
        </w:tc>
        <w:tc>
          <w:tcPr>
            <w:tcW w:w="4048" w:type="dxa"/>
            <w:tcBorders>
              <w:top w:val="single" w:color="auto" w:sz="12" w:space="0"/>
              <w:left w:val="single" w:color="auto" w:sz="12" w:space="0"/>
              <w:bottom w:val="single" w:color="auto" w:sz="4" w:space="0"/>
              <w:right w:val="single" w:color="auto" w:sz="12" w:space="0"/>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1.实验室改造维修费，指对实验室进行的非功能性维修改造所发生的费用</w:t>
            </w:r>
          </w:p>
        </w:tc>
        <w:tc>
          <w:tcPr>
            <w:tcW w:w="2537" w:type="dxa"/>
            <w:tcBorders>
              <w:top w:val="single" w:color="auto" w:sz="12" w:space="0"/>
              <w:left w:val="single" w:color="auto" w:sz="12" w:space="0"/>
              <w:bottom w:val="single" w:color="auto" w:sz="4" w:space="0"/>
              <w:right w:val="nil"/>
            </w:tcBorders>
            <w:noWrap w:val="0"/>
            <w:vAlign w:val="top"/>
          </w:tcPr>
          <w:p>
            <w:pPr>
              <w:rPr>
                <w:rFonts w:hint="eastAsia" w:ascii="仿宋" w:hAnsi="仿宋" w:eastAsia="仿宋" w:cs="仿宋_GB2312"/>
                <w:sz w:val="24"/>
                <w:szCs w:val="24"/>
              </w:rPr>
            </w:pP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719" w:type="dxa"/>
            <w:vMerge w:val="continue"/>
            <w:tcBorders>
              <w:left w:val="nil"/>
              <w:right w:val="single" w:color="auto" w:sz="12" w:space="0"/>
            </w:tcBorders>
            <w:noWrap w:val="0"/>
            <w:vAlign w:val="top"/>
          </w:tcPr>
          <w:p>
            <w:pPr>
              <w:rPr>
                <w:rFonts w:hint="eastAsia" w:ascii="仿宋" w:hAnsi="仿宋" w:eastAsia="仿宋" w:cs="仿宋_GB2312"/>
                <w:sz w:val="24"/>
                <w:szCs w:val="24"/>
              </w:rPr>
            </w:pPr>
          </w:p>
        </w:tc>
        <w:tc>
          <w:tcPr>
            <w:tcW w:w="1516" w:type="dxa"/>
            <w:vMerge w:val="continue"/>
            <w:tcBorders>
              <w:left w:val="single" w:color="auto" w:sz="12" w:space="0"/>
              <w:right w:val="single" w:color="auto" w:sz="12" w:space="0"/>
            </w:tcBorders>
            <w:noWrap w:val="0"/>
            <w:vAlign w:val="top"/>
          </w:tcPr>
          <w:p>
            <w:pPr>
              <w:rPr>
                <w:rFonts w:hint="eastAsia" w:ascii="仿宋" w:hAnsi="仿宋" w:eastAsia="仿宋" w:cs="仿宋_GB2312"/>
                <w:sz w:val="24"/>
                <w:szCs w:val="24"/>
              </w:rPr>
            </w:pPr>
          </w:p>
        </w:tc>
        <w:tc>
          <w:tcPr>
            <w:tcW w:w="4048" w:type="dxa"/>
            <w:tcBorders>
              <w:top w:val="single" w:color="auto" w:sz="4" w:space="0"/>
              <w:left w:val="single" w:color="auto" w:sz="12" w:space="0"/>
              <w:bottom w:val="single" w:color="auto" w:sz="4" w:space="0"/>
              <w:right w:val="single" w:color="auto" w:sz="12" w:space="0"/>
            </w:tcBorders>
            <w:noWrap w:val="0"/>
            <w:vAlign w:val="top"/>
          </w:tcPr>
          <w:p>
            <w:pPr>
              <w:widowControl/>
              <w:jc w:val="left"/>
              <w:rPr>
                <w:rFonts w:hint="eastAsia" w:ascii="仿宋" w:hAnsi="仿宋" w:eastAsia="仿宋" w:cs="仿宋_GB2312"/>
                <w:kern w:val="0"/>
                <w:sz w:val="24"/>
                <w:szCs w:val="24"/>
              </w:rPr>
            </w:pPr>
            <w:r>
              <w:rPr>
                <w:rFonts w:hint="eastAsia" w:ascii="仿宋" w:hAnsi="仿宋" w:eastAsia="仿宋" w:cs="仿宋_GB2312"/>
                <w:kern w:val="0"/>
                <w:sz w:val="24"/>
                <w:szCs w:val="24"/>
                <w:lang w:eastAsia="zh-CN" w:bidi="ar"/>
              </w:rPr>
              <w:t>2.车辆费，指项目实施过程中的专用车辆费用，包括：燃油费、过路资金桥)费、停车费、租车费等</w:t>
            </w:r>
          </w:p>
        </w:tc>
        <w:tc>
          <w:tcPr>
            <w:tcW w:w="2537" w:type="dxa"/>
            <w:tcBorders>
              <w:top w:val="single" w:color="auto" w:sz="4" w:space="0"/>
              <w:left w:val="single" w:color="auto" w:sz="12" w:space="0"/>
              <w:bottom w:val="single" w:color="auto" w:sz="4" w:space="0"/>
              <w:right w:val="nil"/>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非公车维修费、保险费、年检费用等不得报销</w:t>
            </w: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53" w:hRule="atLeast"/>
        </w:trPr>
        <w:tc>
          <w:tcPr>
            <w:tcW w:w="719" w:type="dxa"/>
            <w:vMerge w:val="continue"/>
            <w:tcBorders>
              <w:left w:val="nil"/>
              <w:right w:val="single" w:color="auto" w:sz="12" w:space="0"/>
            </w:tcBorders>
            <w:noWrap w:val="0"/>
            <w:vAlign w:val="top"/>
          </w:tcPr>
          <w:p>
            <w:pPr>
              <w:rPr>
                <w:rFonts w:hint="eastAsia" w:ascii="仿宋" w:hAnsi="仿宋" w:eastAsia="仿宋" w:cs="仿宋_GB2312"/>
                <w:sz w:val="24"/>
                <w:szCs w:val="24"/>
              </w:rPr>
            </w:pPr>
          </w:p>
        </w:tc>
        <w:tc>
          <w:tcPr>
            <w:tcW w:w="1516" w:type="dxa"/>
            <w:vMerge w:val="continue"/>
            <w:tcBorders>
              <w:left w:val="single" w:color="auto" w:sz="12" w:space="0"/>
              <w:right w:val="single" w:color="auto" w:sz="12" w:space="0"/>
            </w:tcBorders>
            <w:noWrap w:val="0"/>
            <w:vAlign w:val="top"/>
          </w:tcPr>
          <w:p>
            <w:pPr>
              <w:rPr>
                <w:rFonts w:hint="eastAsia" w:ascii="仿宋" w:hAnsi="仿宋" w:eastAsia="仿宋" w:cs="仿宋_GB2312"/>
                <w:sz w:val="24"/>
                <w:szCs w:val="24"/>
              </w:rPr>
            </w:pPr>
          </w:p>
        </w:tc>
        <w:tc>
          <w:tcPr>
            <w:tcW w:w="4048" w:type="dxa"/>
            <w:tcBorders>
              <w:top w:val="single" w:color="auto" w:sz="4" w:space="0"/>
              <w:left w:val="single" w:color="auto" w:sz="12" w:space="0"/>
              <w:right w:val="single" w:color="auto" w:sz="12" w:space="0"/>
            </w:tcBorders>
            <w:noWrap w:val="0"/>
            <w:vAlign w:val="top"/>
          </w:tcPr>
          <w:p>
            <w:pPr>
              <w:jc w:val="left"/>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4.培训和学习费用，项目参加人员的学习和培训的开支</w:t>
            </w:r>
          </w:p>
        </w:tc>
        <w:tc>
          <w:tcPr>
            <w:tcW w:w="2537" w:type="dxa"/>
            <w:tcBorders>
              <w:top w:val="single" w:color="auto" w:sz="4" w:space="0"/>
              <w:left w:val="single" w:color="auto" w:sz="12" w:space="0"/>
              <w:right w:val="nil"/>
            </w:tcBorders>
            <w:noWrap w:val="0"/>
            <w:vAlign w:val="top"/>
          </w:tcPr>
          <w:p>
            <w:pPr>
              <w:widowControl/>
              <w:jc w:val="left"/>
              <w:rPr>
                <w:rFonts w:hint="eastAsia" w:ascii="仿宋" w:hAnsi="仿宋" w:eastAsia="仿宋" w:cs="仿宋_GB2312"/>
                <w:kern w:val="0"/>
                <w:sz w:val="24"/>
                <w:szCs w:val="24"/>
              </w:rPr>
            </w:pP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1951" w:hRule="atLeast"/>
        </w:trPr>
        <w:tc>
          <w:tcPr>
            <w:tcW w:w="719" w:type="dxa"/>
            <w:vMerge w:val="continue"/>
            <w:tcBorders>
              <w:left w:val="nil"/>
              <w:right w:val="single" w:color="auto" w:sz="12" w:space="0"/>
            </w:tcBorders>
            <w:noWrap w:val="0"/>
            <w:vAlign w:val="top"/>
          </w:tcPr>
          <w:p>
            <w:pPr>
              <w:rPr>
                <w:rFonts w:hint="eastAsia" w:ascii="仿宋" w:hAnsi="仿宋" w:eastAsia="仿宋" w:cs="仿宋_GB2312"/>
                <w:sz w:val="24"/>
                <w:szCs w:val="24"/>
              </w:rPr>
            </w:pPr>
          </w:p>
        </w:tc>
        <w:tc>
          <w:tcPr>
            <w:tcW w:w="1516" w:type="dxa"/>
            <w:vMerge w:val="continue"/>
            <w:tcBorders>
              <w:left w:val="single" w:color="auto" w:sz="12" w:space="0"/>
              <w:right w:val="single" w:color="auto" w:sz="12" w:space="0"/>
            </w:tcBorders>
            <w:noWrap w:val="0"/>
            <w:vAlign w:val="top"/>
          </w:tcPr>
          <w:p>
            <w:pPr>
              <w:rPr>
                <w:rFonts w:hint="eastAsia" w:ascii="仿宋" w:hAnsi="仿宋" w:eastAsia="仿宋" w:cs="仿宋_GB2312"/>
                <w:sz w:val="24"/>
                <w:szCs w:val="24"/>
              </w:rPr>
            </w:pPr>
          </w:p>
        </w:tc>
        <w:tc>
          <w:tcPr>
            <w:tcW w:w="4048" w:type="dxa"/>
            <w:tcBorders>
              <w:top w:val="single" w:color="auto" w:sz="4" w:space="0"/>
              <w:left w:val="single" w:color="auto" w:sz="12" w:space="0"/>
              <w:right w:val="single" w:color="auto" w:sz="12" w:space="0"/>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5.其他,不能明确分类的直接支出</w:t>
            </w:r>
          </w:p>
        </w:tc>
        <w:tc>
          <w:tcPr>
            <w:tcW w:w="2537" w:type="dxa"/>
            <w:tcBorders>
              <w:top w:val="single" w:color="auto" w:sz="4" w:space="0"/>
              <w:left w:val="single" w:color="auto" w:sz="12" w:space="0"/>
              <w:right w:val="nil"/>
            </w:tcBorders>
            <w:noWrap w:val="0"/>
            <w:vAlign w:val="top"/>
          </w:tcPr>
          <w:p>
            <w:pPr>
              <w:rPr>
                <w:rFonts w:ascii="仿宋" w:hAnsi="仿宋" w:eastAsia="仿宋" w:cs="仿宋_GB2312"/>
                <w:kern w:val="0"/>
                <w:sz w:val="24"/>
                <w:szCs w:val="24"/>
                <w:lang w:eastAsia="zh-CN" w:bidi="ar"/>
              </w:rPr>
            </w:pPr>
            <w:r>
              <w:rPr>
                <w:rFonts w:hint="eastAsia" w:ascii="仿宋" w:hAnsi="仿宋" w:eastAsia="仿宋" w:cs="仿宋_GB2312"/>
                <w:kern w:val="0"/>
                <w:sz w:val="24"/>
                <w:szCs w:val="24"/>
                <w:lang w:eastAsia="zh-CN" w:bidi="ar"/>
              </w:rPr>
              <w:t>旅游、劳保福利、娱乐、家庭消费和个人生活性支出及与项目活动无关的支出不得</w:t>
            </w:r>
          </w:p>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从项目资金支出</w:t>
            </w:r>
          </w:p>
        </w:tc>
      </w:tr>
      <w:tr>
        <w:tblPrEx>
          <w:tblBorders>
            <w:top w:val="single" w:color="000000" w:sz="12" w:space="0"/>
            <w:left w:val="none" w:color="auto" w:sz="6" w:space="0"/>
            <w:bottom w:val="single" w:color="000000" w:sz="12"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719" w:type="dxa"/>
            <w:tcBorders>
              <w:top w:val="single" w:color="auto" w:sz="4" w:space="0"/>
              <w:left w:val="nil"/>
              <w:bottom w:val="single" w:color="000000" w:sz="12" w:space="0"/>
              <w:right w:val="single" w:color="auto" w:sz="12" w:space="0"/>
            </w:tcBorders>
            <w:noWrap w:val="0"/>
            <w:vAlign w:val="top"/>
          </w:tcPr>
          <w:p>
            <w:pPr>
              <w:jc w:val="center"/>
              <w:rPr>
                <w:rFonts w:hint="eastAsia" w:ascii="仿宋" w:hAnsi="仿宋" w:eastAsia="仿宋" w:cs="仿宋_GB2312"/>
                <w:sz w:val="24"/>
                <w:szCs w:val="24"/>
              </w:rPr>
            </w:pPr>
          </w:p>
        </w:tc>
        <w:tc>
          <w:tcPr>
            <w:tcW w:w="1516" w:type="dxa"/>
            <w:tcBorders>
              <w:top w:val="single" w:color="auto" w:sz="4" w:space="0"/>
              <w:left w:val="single" w:color="auto" w:sz="12" w:space="0"/>
              <w:bottom w:val="single" w:color="000000" w:sz="12" w:space="0"/>
              <w:right w:val="single" w:color="auto" w:sz="12" w:space="0"/>
            </w:tcBorders>
            <w:noWrap w:val="0"/>
            <w:vAlign w:val="top"/>
          </w:tcPr>
          <w:p>
            <w:pPr>
              <w:rPr>
                <w:rFonts w:hint="eastAsia" w:ascii="仿宋" w:hAnsi="仿宋" w:eastAsia="仿宋" w:cs="仿宋_GB2312"/>
                <w:b/>
                <w:sz w:val="24"/>
                <w:szCs w:val="24"/>
              </w:rPr>
            </w:pPr>
            <w:r>
              <w:rPr>
                <w:rFonts w:hint="eastAsia" w:ascii="仿宋" w:hAnsi="仿宋" w:eastAsia="仿宋" w:cs="仿宋_GB2312"/>
                <w:b/>
                <w:kern w:val="0"/>
                <w:sz w:val="24"/>
                <w:szCs w:val="24"/>
                <w:lang w:eastAsia="zh-CN" w:bidi="ar"/>
              </w:rPr>
              <w:t>间接费用</w:t>
            </w:r>
          </w:p>
        </w:tc>
        <w:tc>
          <w:tcPr>
            <w:tcW w:w="4048" w:type="dxa"/>
            <w:tcBorders>
              <w:top w:val="single" w:color="auto" w:sz="4" w:space="0"/>
              <w:left w:val="single" w:color="auto" w:sz="12" w:space="0"/>
              <w:bottom w:val="single" w:color="auto" w:sz="12" w:space="0"/>
              <w:right w:val="single" w:color="auto" w:sz="12" w:space="0"/>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按国家相关办法的规定比例提取。</w:t>
            </w:r>
            <w:r>
              <w:rPr>
                <w:rFonts w:hint="eastAsia" w:ascii="仿宋" w:hAnsi="仿宋" w:eastAsia="仿宋" w:cs="仿宋_GB2312"/>
                <w:kern w:val="2"/>
                <w:sz w:val="24"/>
                <w:szCs w:val="24"/>
                <w:lang w:eastAsia="zh-CN" w:bidi="ar"/>
              </w:rPr>
              <w:t xml:space="preserve"> </w:t>
            </w:r>
          </w:p>
        </w:tc>
        <w:tc>
          <w:tcPr>
            <w:tcW w:w="2537" w:type="dxa"/>
            <w:tcBorders>
              <w:top w:val="single" w:color="auto" w:sz="4" w:space="0"/>
              <w:left w:val="single" w:color="auto" w:sz="12" w:space="0"/>
              <w:bottom w:val="single" w:color="auto" w:sz="12" w:space="0"/>
              <w:right w:val="nil"/>
            </w:tcBorders>
            <w:noWrap w:val="0"/>
            <w:vAlign w:val="top"/>
          </w:tcPr>
          <w:p>
            <w:pPr>
              <w:rPr>
                <w:rFonts w:hint="eastAsia" w:ascii="仿宋" w:hAnsi="仿宋" w:eastAsia="仿宋" w:cs="仿宋_GB2312"/>
                <w:sz w:val="24"/>
                <w:szCs w:val="24"/>
              </w:rPr>
            </w:pPr>
            <w:r>
              <w:rPr>
                <w:rFonts w:hint="eastAsia" w:ascii="仿宋" w:hAnsi="仿宋" w:eastAsia="仿宋" w:cs="仿宋_GB2312"/>
                <w:kern w:val="0"/>
                <w:sz w:val="24"/>
                <w:szCs w:val="24"/>
                <w:lang w:eastAsia="zh-CN" w:bidi="ar"/>
              </w:rPr>
              <w:t>提取比例见附件1，动态调整</w:t>
            </w:r>
          </w:p>
        </w:tc>
      </w:tr>
    </w:tbl>
    <w:p>
      <w:pPr>
        <w:rPr>
          <w:rFonts w:hint="eastAsia" w:ascii="仿宋" w:hAnsi="仿宋" w:eastAsia="仿宋" w:cs="仿宋_GB2312"/>
        </w:rPr>
      </w:pPr>
      <w:r>
        <w:rPr>
          <w:rFonts w:hint="eastAsia" w:ascii="仿宋" w:hAnsi="仿宋" w:eastAsia="仿宋" w:cs="仿宋_GB2312"/>
        </w:rPr>
        <w:t xml:space="preserve">                                                                                                                                                                                                                                                                                                                                                                                                                                                                                                                                                                                                                                                                                                                                                                                                                                                                                                                                                                                                                                                                                                                                                                                                                                                                                                                                                                                                                                                                                  </w:t>
      </w:r>
    </w:p>
    <w:p>
      <w:bookmarkStart w:id="0" w:name="_GoBack"/>
      <w:bookmarkEnd w:id="0"/>
    </w:p>
    <w:sectPr>
      <w:pgSz w:w="11906" w:h="16838"/>
      <w:pgMar w:top="1383" w:right="1576" w:bottom="1383" w:left="1633" w:header="708"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ongti SC Regular">
    <w:altName w:val="宋体"/>
    <w:panose1 w:val="02010600040101010101"/>
    <w:charset w:val="86"/>
    <w:family w:val="auto"/>
    <w:pitch w:val="default"/>
    <w:sig w:usb0="00000000" w:usb1="00000000" w:usb2="00000010" w:usb3="00000000" w:csb0="0004009F"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04C000" w:usb3="00000000" w:csb0="00000001" w:csb1="4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3844FFD"/>
    <w:rsid w:val="60F35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line="100" w:lineRule="atLeast"/>
      <w:jc w:val="both"/>
    </w:pPr>
    <w:rPr>
      <w:rFonts w:ascii="Times New Roman" w:hAnsi="Times New Roman" w:eastAsia="宋体" w:cs="Times New Roman"/>
      <w:kern w:val="1"/>
      <w:sz w:val="21"/>
      <w:lang w:val="en-US" w:eastAsia="ar-SA"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spacing w:line="240" w:lineRule="atLeast"/>
      <w:jc w:val="left"/>
    </w:pPr>
    <w:rPr>
      <w:sz w:val="18"/>
      <w:szCs w:val="18"/>
    </w:rPr>
  </w:style>
  <w:style w:type="paragraph" w:customStyle="1" w:styleId="5">
    <w:name w:val="样式3"/>
    <w:basedOn w:val="1"/>
    <w:uiPriority w:val="0"/>
    <w:rPr>
      <w:rFonts w:ascii="Songti SC Regular" w:hAnsi="Songti SC Regular" w:eastAsia="宋体" w:cs="Songti SC Regular"/>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Spacer1420341335</dc:creator>
  <cp:lastModifiedBy>aite-office2</cp:lastModifiedBy>
  <dcterms:modified xsi:type="dcterms:W3CDTF">2020-05-11T06:44:39Z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