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关于2020年秋季学期2019级体育俱乐部选课的通知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各学院（系、部）及2019级同学：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根据学校教学计划安排，现就2019-2020学年第一学期2019级本科生体育俱乐部选课事宜通知如下：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一、选课对象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所有我校在籍注册的全日制普通本科生，均可参与选课（转专业的学生开学初学籍办理完毕后，跟随2020级学生进行选课）。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二、选课时间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1.预选时间：8月25日17:30－8月27日10:00（可选，可退，预选结束后，计算机随机进行抽签，未中签在补选阶段进行选课。）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2.补选时间：8月29日12:00－8月31日12:00（可选，不可退）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三、选课方式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学生须登录“本科教务管理系统”（http://jwgl.nwsuaf.edu.cn/academic/login/nwsuaf/loginIds6.jsp）进行选课或登录学校主页，点击右下角“快速通道”中“本科教务管理系统”登录选课。具体选课操作流程见系统内公告。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四、上课时间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本学期体育俱乐部课程将于第二周开课，上课周次为第2-3，5-16周。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五、注意事项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1.2019级全体同学在班级课表中体育III课程所在时间段内选课，每个学生只能选择一个俱乐部；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2.未经网上选课者，不允参加修读课程；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3.选课结束后，登录“本科教务管理系统”查询个人课表，查看上课时间、地点等信息；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4.请各学院（系、部）及时通知广大学生按期进行选课；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2"/>
          <w:szCs w:val="22"/>
          <w:bdr w:val="none" w:color="auto" w:sz="0" w:space="0"/>
          <w:shd w:val="clear" w:fill="FFFFFF"/>
        </w:rPr>
        <w:t>5.选课过程中遇到课程内容疑问，联系体育部 电话：87092466。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选课系统遇到问题，联系人：张艳艳 联系电话：87091714。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2020-08-24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4446"/>
    <w:rsid w:val="7848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2020-08-25T08:29:35Z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