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676" w:beforeAutospacing="0" w:after="450" w:afterAutospacing="0"/>
        <w:ind w:left="900" w:right="90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关于举办2020“凤岗法学”模拟法庭大赛的通知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各学院（系）及广大学生：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为了提高学生的实践技能，增强法治意识，强化法治思维，提高团队合作意识，实现以赛促学，学校现举办第二届“凤岗法学”模拟法庭大赛。本次大赛由人文社会发展学院承办，现将有关事宜通知如下：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一、参赛对象及形式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法学专业的学生及非法学专业法律爱好学生均可报名参加。初赛应以个人形式报名参加，决赛由初赛优秀者组建团队参加。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二、竞赛内容及安排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本次竞赛分为初赛和决赛两个阶段进行。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（一）初赛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初赛以基本的法律常识为内容，采用闭卷方式，满分100分。拟定于11月1日之前集中在学校教室举行，具体时间及地点后续在官方模拟法庭学科竞赛QQ交流群通知。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（二）决赛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根据初赛分数从高到低选拔组建四个团队进行模拟法庭决赛。由大赛组委会提供案卷，每个团队根据提供的案卷独立撰写法律文书、模拟法庭开庭审理、案卷归档。评委根据各团队模拟法庭开庭情况和案卷归档情况评出获奖团队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模拟法庭决赛拟定于12月4日之前举行，具体时间地点后续另行通知。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三、报名时间及方式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（一）初赛报名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自本通知发布之日起截止10月28日，参赛学生请登录学校教务处实践教学与质量工程综合管理平台 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"http://shjk.nwafu.edu.cn/nwsuaf/" </w:instrTex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color w:val="000000"/>
          <w:sz w:val="24"/>
          <w:szCs w:val="24"/>
          <w:u w:val="none"/>
          <w:bdr w:val="none" w:color="auto" w:sz="0" w:space="0"/>
          <w:shd w:val="clear" w:fill="FFFFFF"/>
        </w:rPr>
        <w:t>http://shjk.nwafu.edu.cn/nwsuaf/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），进入学科竞赛管理子系统，在“2020‘凤岗法学’模拟法庭大赛”项目中进行报名，同时填写报名表并在系统中提交。完成报名后，请加入模拟法庭学科竞赛QQ交流群（群号：1002934634）。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（二）决赛报名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初赛评选出的优胜者自行组队，以团队形式报名，团队需指定一名队长，团队成员人数根据模拟法庭角色数量而定。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四、奖励设置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大赛设个人奖和团体奖若干名。学校为获奖者颁发证书并奖品鼓励，同时，根据《西北农林科技大学本科生创新创业与素质教育学分管理办法》记入创新创业与素质教育学分。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联系人：时倩颖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联系电话：17760890612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</w:p>
    <w:p>
      <w:pPr>
        <w:pStyle w:val="16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教务处 人文社会发展学院</w:t>
      </w:r>
    </w:p>
    <w:p>
      <w:pPr>
        <w:pStyle w:val="17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2020-10-15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3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450" w:beforeAutospacing="0"/>
      <w:ind w:left="7500"/>
      <w:jc w:val="left"/>
    </w:pPr>
    <w:rPr>
      <w:rFonts w:ascii="微软雅黑" w:hAnsi="微软雅黑" w:eastAsia="微软雅黑" w:cs="微软雅黑"/>
      <w:kern w:val="0"/>
      <w:sz w:val="24"/>
      <w:szCs w:val="24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7500"/>
      <w:jc w:val="left"/>
    </w:pPr>
    <w:rPr>
      <w:rFonts w:hint="eastAsia" w:ascii="微软雅黑" w:hAnsi="微软雅黑" w:eastAsia="微软雅黑" w:cs="微软雅黑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2020-10-16T06:35:25Z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