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关于召开一流本科课程认定评审会的通知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各学院（系、部）：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根据《关于做好2020年一流本科课程认定工作的通知》，学校决定组织召开一流本科课程认定评审会，现将有关事项通知如下：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2020年12月28日（星期一）上午8:30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线上、混合、线下、社会实践一流课程评审地点：北校区3号教学楼二层西侧教室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虚拟仿真实验一流本课程评审地点：校虚拟仿真实验教学中心（信息学院实验楼三层东北角302）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三、评审方式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1.课程负责人现场汇报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汇报人以《一流本科课程认定申请表》为基础，以PPT形式从课程团队、课程目标、课程建设及应用情况、课程特色与创新、课程持续建设计划等方面汇报，着重汇报课程在教学中的应用情况。线上、混合一流本科课程需在PPT中展示教学平台中教学资源和学生使用记录的截图，虚拟仿真实验一流本科课程需进行项目演示。汇报时间不超过5分钟，汇报顺序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2.现场答辩。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3.专家组通过听取汇报，查看申报材料等进行综合评议，打分后确定认定通过的课程名单。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四、相关要求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1.请各相关学院（系、部）通知课程负责人按时参会并现场观摩。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2.汇报PPT请于会前20分钟拷贝。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1.线上、线下、混合、社会实践一流本科课程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联系人：耿会玲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联系电话：87091317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2.虚拟仿真实验教学一流本科课程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联系人：刘德明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联系电话：87091077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right="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2020-12-23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2020-12-24T00:58:11Z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