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 w:eastAsia="仿宋" w:cs="Times New Roman"/>
          <w:b/>
          <w:sz w:val="36"/>
          <w:szCs w:val="36"/>
        </w:rPr>
      </w:pPr>
      <w:r>
        <w:rPr>
          <w:rFonts w:ascii="Times New Roman" w:hAnsi="Times New Roman" w:eastAsia="仿宋" w:cs="Times New Roman"/>
          <w:b/>
          <w:sz w:val="36"/>
          <w:szCs w:val="36"/>
        </w:rPr>
        <w:t>“黄河</w:t>
      </w:r>
      <w:r>
        <w:rPr>
          <w:rFonts w:hint="eastAsia" w:ascii="Times New Roman" w:hAnsi="Times New Roman" w:eastAsia="仿宋" w:cs="Times New Roman"/>
          <w:b/>
          <w:sz w:val="36"/>
          <w:szCs w:val="36"/>
        </w:rPr>
        <w:t>流域</w:t>
      </w:r>
      <w:r>
        <w:rPr>
          <w:rFonts w:ascii="Times New Roman" w:hAnsi="Times New Roman" w:eastAsia="仿宋" w:cs="Times New Roman"/>
          <w:b/>
          <w:sz w:val="36"/>
          <w:szCs w:val="36"/>
        </w:rPr>
        <w:t>生态保护</w:t>
      </w:r>
      <w:r>
        <w:rPr>
          <w:rFonts w:hint="eastAsia" w:ascii="Times New Roman" w:hAnsi="Times New Roman" w:eastAsia="仿宋" w:cs="Times New Roman"/>
          <w:b/>
          <w:sz w:val="36"/>
          <w:szCs w:val="36"/>
        </w:rPr>
        <w:t>和高质量发展</w:t>
      </w:r>
      <w:r>
        <w:rPr>
          <w:rFonts w:ascii="Times New Roman" w:hAnsi="Times New Roman" w:eastAsia="仿宋" w:cs="Times New Roman"/>
          <w:b/>
          <w:sz w:val="36"/>
          <w:szCs w:val="36"/>
        </w:rPr>
        <w:t>” 科技专</w:t>
      </w:r>
      <w:bookmarkStart w:id="0" w:name="_GoBack"/>
      <w:bookmarkEnd w:id="0"/>
      <w:r>
        <w:rPr>
          <w:rFonts w:ascii="Times New Roman" w:hAnsi="Times New Roman" w:eastAsia="仿宋" w:cs="Times New Roman"/>
          <w:b/>
          <w:sz w:val="36"/>
          <w:szCs w:val="36"/>
        </w:rPr>
        <w:t>项</w:t>
      </w:r>
    </w:p>
    <w:p>
      <w:pPr>
        <w:jc w:val="center"/>
        <w:rPr>
          <w:rFonts w:ascii="Times New Roman" w:hAnsi="Times New Roman" w:eastAsia="仿宋" w:cs="Times New Roman"/>
          <w:b/>
          <w:sz w:val="36"/>
          <w:szCs w:val="36"/>
        </w:rPr>
      </w:pPr>
      <w:r>
        <w:rPr>
          <w:rFonts w:ascii="Times New Roman" w:hAnsi="Times New Roman" w:eastAsia="仿宋" w:cs="Times New Roman"/>
          <w:b/>
          <w:sz w:val="36"/>
          <w:szCs w:val="36"/>
        </w:rPr>
        <w:t>2022年度</w:t>
      </w:r>
      <w:r>
        <w:rPr>
          <w:rFonts w:hint="eastAsia" w:ascii="Times New Roman" w:hAnsi="Times New Roman" w:eastAsia="仿宋" w:cs="Times New Roman"/>
          <w:b/>
          <w:sz w:val="36"/>
          <w:szCs w:val="36"/>
          <w:lang w:eastAsia="zh-CN"/>
        </w:rPr>
        <w:t>项目</w:t>
      </w:r>
      <w:r>
        <w:rPr>
          <w:rFonts w:ascii="Times New Roman" w:hAnsi="Times New Roman" w:eastAsia="仿宋" w:cs="Times New Roman"/>
          <w:b/>
          <w:sz w:val="36"/>
          <w:szCs w:val="36"/>
        </w:rPr>
        <w:t>申报指南</w:t>
      </w:r>
    </w:p>
    <w:p>
      <w:pPr>
        <w:pStyle w:val="10"/>
        <w:spacing w:before="156" w:beforeLines="50" w:after="156" w:afterLines="50"/>
        <w:ind w:firstLine="640" w:firstLineChars="200"/>
        <w:jc w:val="both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本项目的总体目标是：围绕黄河流域生态保护和高质量发展国家战略需求，以</w:t>
      </w:r>
      <w:r>
        <w:rPr>
          <w:rFonts w:ascii="Times New Roman" w:hAnsi="Times New Roman" w:eastAsia="仿宋" w:cs="Times New Roman"/>
          <w:bCs/>
          <w:color w:val="auto"/>
          <w:kern w:val="2"/>
          <w:sz w:val="32"/>
          <w:szCs w:val="32"/>
        </w:rPr>
        <w:t>生态保护与修复</w:t>
      </w:r>
      <w:r>
        <w:rPr>
          <w:rFonts w:ascii="Times New Roman" w:hAnsi="Times New Roman" w:eastAsia="仿宋" w:cs="Times New Roman"/>
          <w:bCs/>
          <w:sz w:val="32"/>
          <w:szCs w:val="32"/>
        </w:rPr>
        <w:t>、</w:t>
      </w:r>
      <w:r>
        <w:rPr>
          <w:rFonts w:ascii="Times New Roman" w:hAnsi="Times New Roman" w:eastAsia="仿宋" w:cs="Times New Roman"/>
          <w:bCs/>
          <w:color w:val="auto"/>
          <w:kern w:val="2"/>
          <w:sz w:val="32"/>
          <w:szCs w:val="32"/>
        </w:rPr>
        <w:t>生态产业发展</w:t>
      </w:r>
      <w:r>
        <w:rPr>
          <w:rFonts w:ascii="Times New Roman" w:hAnsi="Times New Roman" w:eastAsia="仿宋" w:cs="Times New Roman"/>
          <w:bCs/>
          <w:sz w:val="32"/>
          <w:szCs w:val="32"/>
        </w:rPr>
        <w:t>、</w:t>
      </w:r>
      <w:r>
        <w:rPr>
          <w:rFonts w:ascii="Times New Roman" w:hAnsi="Times New Roman" w:eastAsia="仿宋" w:cs="Times New Roman"/>
          <w:bCs/>
          <w:color w:val="auto"/>
          <w:kern w:val="2"/>
          <w:sz w:val="32"/>
          <w:szCs w:val="32"/>
        </w:rPr>
        <w:t>生态经济文化发展为重要领域，重点突破</w:t>
      </w:r>
      <w:r>
        <w:rPr>
          <w:rFonts w:ascii="Times New Roman" w:hAnsi="Times New Roman" w:eastAsia="仿宋" w:cs="Times New Roman"/>
          <w:sz w:val="32"/>
          <w:szCs w:val="32"/>
        </w:rPr>
        <w:t>植被恢复与功能重建、生态系统碳汇与增汇机制、区域水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沙</w:t>
      </w:r>
      <w:r>
        <w:rPr>
          <w:rFonts w:ascii="Times New Roman" w:hAnsi="Times New Roman" w:eastAsia="仿宋" w:cs="Times New Roman"/>
          <w:sz w:val="32"/>
          <w:szCs w:val="32"/>
        </w:rPr>
        <w:t>过程、水土流失综合治理、生态产业与富民增收、生态产品价值实现机制与路径等关键技术与瓶颈问题，以推动我校双一流建设全面追赶超越，为国家生态文明建设服务。</w:t>
      </w:r>
    </w:p>
    <w:p>
      <w:pPr>
        <w:spacing w:line="360" w:lineRule="auto"/>
        <w:rPr>
          <w:rFonts w:ascii="Times New Roman" w:hAnsi="Times New Roman" w:eastAsia="仿宋" w:cs="Times New Roman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" w:cs="Times New Roman"/>
          <w:color w:val="000000"/>
          <w:kern w:val="0"/>
          <w:sz w:val="32"/>
          <w:szCs w:val="32"/>
        </w:rPr>
        <w:t>本专项</w:t>
      </w: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32"/>
        </w:rPr>
        <w:t>各项目</w:t>
      </w:r>
      <w:r>
        <w:rPr>
          <w:rFonts w:ascii="Times New Roman" w:hAnsi="Times New Roman" w:eastAsia="仿宋" w:cs="Times New Roman"/>
          <w:color w:val="000000"/>
          <w:kern w:val="0"/>
          <w:sz w:val="32"/>
          <w:szCs w:val="32"/>
        </w:rPr>
        <w:t>申报指南如下：</w:t>
      </w:r>
    </w:p>
    <w:p>
      <w:pPr>
        <w:autoSpaceDE w:val="0"/>
        <w:autoSpaceDN w:val="0"/>
        <w:adjustRightInd w:val="0"/>
        <w:spacing w:line="360" w:lineRule="auto"/>
        <w:rPr>
          <w:rFonts w:ascii="Times New Roman" w:hAnsi="Times New Roman" w:eastAsia="仿宋" w:cs="Times New Roman"/>
          <w:b/>
          <w:bCs/>
          <w:color w:val="000000"/>
          <w:kern w:val="0"/>
          <w:sz w:val="32"/>
          <w:szCs w:val="32"/>
        </w:rPr>
      </w:pPr>
      <w:r>
        <w:rPr>
          <w:rFonts w:ascii="Times New Roman" w:hAnsi="Times New Roman" w:eastAsia="仿宋" w:cs="Times New Roman"/>
          <w:b/>
          <w:bCs/>
          <w:color w:val="000000"/>
          <w:kern w:val="0"/>
          <w:sz w:val="32"/>
          <w:szCs w:val="32"/>
        </w:rPr>
        <w:t>（1）黄土高原植被恢复关键过程与</w:t>
      </w:r>
      <w:r>
        <w:rPr>
          <w:rFonts w:hint="eastAsia" w:ascii="Times New Roman" w:hAnsi="Times New Roman" w:eastAsia="仿宋" w:cs="Times New Roman"/>
          <w:b/>
          <w:bCs/>
          <w:color w:val="000000"/>
          <w:kern w:val="0"/>
          <w:sz w:val="32"/>
          <w:szCs w:val="32"/>
        </w:rPr>
        <w:t>模式创建</w:t>
      </w:r>
    </w:p>
    <w:p>
      <w:pPr>
        <w:autoSpaceDE w:val="0"/>
        <w:autoSpaceDN w:val="0"/>
        <w:adjustRightInd w:val="0"/>
        <w:spacing w:line="360" w:lineRule="auto"/>
        <w:ind w:firstLine="643" w:firstLineChars="200"/>
        <w:rPr>
          <w:rFonts w:ascii="Times New Roman" w:hAnsi="Times New Roman" w:eastAsia="仿宋" w:cs="Times New Roman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" w:cs="Times New Roman"/>
          <w:b/>
          <w:bCs/>
          <w:color w:val="000000"/>
          <w:kern w:val="0"/>
          <w:sz w:val="32"/>
          <w:szCs w:val="32"/>
        </w:rPr>
        <w:t>研究内容：</w:t>
      </w:r>
      <w:r>
        <w:rPr>
          <w:rFonts w:ascii="Times New Roman" w:hAnsi="Times New Roman" w:eastAsia="仿宋" w:cs="Times New Roman"/>
          <w:color w:val="000000"/>
          <w:kern w:val="0"/>
          <w:sz w:val="32"/>
          <w:szCs w:val="32"/>
        </w:rPr>
        <w:t>主要开展典型生态系统恢复过程及其驱动机制，人工促进退化低效植被恢复的技术及集成模式，植被恢复中生态功能变化及其权衡，流域植被结构优化与功能定向设计，绿水青山提质增效关键技术及其产业发展模式，区域生态屏障功能建设与生命共同体发展模式。</w:t>
      </w:r>
    </w:p>
    <w:p>
      <w:pPr>
        <w:autoSpaceDE w:val="0"/>
        <w:autoSpaceDN w:val="0"/>
        <w:adjustRightInd w:val="0"/>
        <w:spacing w:line="360" w:lineRule="auto"/>
        <w:ind w:firstLine="643" w:firstLineChars="200"/>
        <w:rPr>
          <w:rFonts w:ascii="Times New Roman" w:hAnsi="Times New Roman" w:eastAsia="仿宋" w:cs="Times New Roman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" w:cs="Times New Roman"/>
          <w:b/>
          <w:bCs/>
          <w:color w:val="000000"/>
          <w:kern w:val="0"/>
          <w:sz w:val="32"/>
          <w:szCs w:val="32"/>
        </w:rPr>
        <w:t>考核指标：</w:t>
      </w:r>
      <w:r>
        <w:rPr>
          <w:rFonts w:ascii="Times New Roman" w:hAnsi="Times New Roman" w:eastAsia="仿宋" w:cs="Times New Roman"/>
          <w:color w:val="000000"/>
          <w:kern w:val="0"/>
          <w:sz w:val="32"/>
          <w:szCs w:val="32"/>
        </w:rPr>
        <w:t>揭示典型生态系统恢复过程及其驱动机制，开发退化低效植被恢复的技术1-2项，提出绿水青山提质增效关键技术及其产业发展模式1个，提交区域生态屏障功能建设与区域发展政策建议报告1份。</w:t>
      </w:r>
    </w:p>
    <w:p>
      <w:pPr>
        <w:autoSpaceDE w:val="0"/>
        <w:autoSpaceDN w:val="0"/>
        <w:adjustRightInd w:val="0"/>
        <w:spacing w:line="360" w:lineRule="auto"/>
        <w:rPr>
          <w:rFonts w:ascii="Times New Roman" w:hAnsi="Times New Roman" w:eastAsia="仿宋" w:cs="Times New Roman"/>
          <w:b/>
          <w:bCs/>
          <w:color w:val="000000"/>
          <w:kern w:val="0"/>
          <w:sz w:val="32"/>
          <w:szCs w:val="32"/>
        </w:rPr>
      </w:pPr>
      <w:r>
        <w:rPr>
          <w:rFonts w:ascii="Times New Roman" w:hAnsi="Times New Roman" w:eastAsia="仿宋" w:cs="Times New Roman"/>
          <w:b/>
          <w:bCs/>
          <w:color w:val="000000"/>
          <w:kern w:val="0"/>
          <w:sz w:val="32"/>
          <w:szCs w:val="32"/>
        </w:rPr>
        <w:t>（2）黄河流域水土保持措施的水沙调控机制</w:t>
      </w:r>
    </w:p>
    <w:p>
      <w:pPr>
        <w:spacing w:line="360" w:lineRule="auto"/>
        <w:ind w:firstLine="643" w:firstLineChars="200"/>
        <w:rPr>
          <w:rFonts w:ascii="Times New Roman" w:hAnsi="Times New Roman" w:eastAsia="仿宋" w:cs="Times New Roman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" w:cs="Times New Roman"/>
          <w:b/>
          <w:bCs/>
          <w:color w:val="000000"/>
          <w:kern w:val="0"/>
          <w:sz w:val="32"/>
          <w:szCs w:val="32"/>
        </w:rPr>
        <w:t>研究内容：</w:t>
      </w:r>
      <w:r>
        <w:rPr>
          <w:rFonts w:ascii="Times New Roman" w:hAnsi="Times New Roman" w:eastAsia="仿宋" w:cs="Times New Roman"/>
          <w:color w:val="000000"/>
          <w:kern w:val="0"/>
          <w:sz w:val="32"/>
          <w:szCs w:val="32"/>
        </w:rPr>
        <w:t xml:space="preserve">研究水土保持对黄河流域功能、区域优势与资源配置问题的影响与潜力，水资源和输沙用水减少背景下黄河下游“地上悬河”治理与水灾威胁消除理论与技术；加强水土保持植被管理，提升水土保持服务功能；开展水土保持系统治理，提出全流域系统治理和水沙调控策略。 </w:t>
      </w:r>
    </w:p>
    <w:p>
      <w:pPr>
        <w:autoSpaceDE w:val="0"/>
        <w:autoSpaceDN w:val="0"/>
        <w:adjustRightInd w:val="0"/>
        <w:spacing w:line="360" w:lineRule="auto"/>
        <w:ind w:firstLine="643" w:firstLineChars="200"/>
        <w:rPr>
          <w:rFonts w:ascii="Times New Roman" w:hAnsi="Times New Roman" w:eastAsia="仿宋" w:cs="Times New Roman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" w:cs="Times New Roman"/>
          <w:b/>
          <w:bCs/>
          <w:color w:val="000000"/>
          <w:kern w:val="0"/>
          <w:sz w:val="32"/>
          <w:szCs w:val="32"/>
        </w:rPr>
        <w:t>考核指标：</w:t>
      </w:r>
      <w:r>
        <w:rPr>
          <w:rFonts w:ascii="Times New Roman" w:hAnsi="Times New Roman" w:eastAsia="仿宋" w:cs="Times New Roman"/>
          <w:color w:val="000000"/>
          <w:kern w:val="0"/>
          <w:sz w:val="32"/>
          <w:szCs w:val="32"/>
        </w:rPr>
        <w:t>明确植被管理措施的水土保持效应，提出黄河下游“地上悬河”治理与水灾威胁消除技术1套，提交全流域系统治理和水沙调控咨询报告1份，发表校G2期刊1篇。</w:t>
      </w:r>
    </w:p>
    <w:p>
      <w:pPr>
        <w:autoSpaceDE w:val="0"/>
        <w:autoSpaceDN w:val="0"/>
        <w:adjustRightInd w:val="0"/>
        <w:spacing w:line="360" w:lineRule="auto"/>
        <w:rPr>
          <w:rFonts w:ascii="Times New Roman" w:hAnsi="Times New Roman" w:eastAsia="仿宋" w:cs="Times New Roman"/>
          <w:b/>
          <w:bCs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" w:cs="Times New Roman"/>
          <w:b/>
          <w:bCs/>
          <w:color w:val="000000"/>
          <w:kern w:val="0"/>
          <w:sz w:val="32"/>
          <w:szCs w:val="32"/>
        </w:rPr>
        <w:t>（</w:t>
      </w:r>
      <w:r>
        <w:rPr>
          <w:rFonts w:ascii="Times New Roman" w:hAnsi="Times New Roman" w:eastAsia="仿宋" w:cs="Times New Roman"/>
          <w:b/>
          <w:bCs/>
          <w:color w:val="000000"/>
          <w:kern w:val="0"/>
          <w:sz w:val="32"/>
          <w:szCs w:val="32"/>
        </w:rPr>
        <w:t>3</w:t>
      </w:r>
      <w:r>
        <w:rPr>
          <w:rFonts w:hint="eastAsia" w:ascii="Times New Roman" w:hAnsi="Times New Roman" w:eastAsia="仿宋" w:cs="Times New Roman"/>
          <w:b/>
          <w:bCs/>
          <w:color w:val="000000"/>
          <w:kern w:val="0"/>
          <w:sz w:val="32"/>
          <w:szCs w:val="32"/>
        </w:rPr>
        <w:t>）黄河中游河道水沙调控及高效输沙理论与技术</w:t>
      </w:r>
    </w:p>
    <w:p>
      <w:pPr>
        <w:spacing w:line="360" w:lineRule="auto"/>
        <w:ind w:firstLine="643" w:firstLineChars="200"/>
        <w:rPr>
          <w:rFonts w:ascii="Times New Roman" w:hAnsi="Times New Roman" w:eastAsia="仿宋" w:cs="Times New Roman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" w:cs="Times New Roman"/>
          <w:b/>
          <w:color w:val="000000"/>
          <w:kern w:val="0"/>
          <w:sz w:val="32"/>
          <w:szCs w:val="32"/>
        </w:rPr>
        <w:t>研究内容：</w:t>
      </w: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32"/>
        </w:rPr>
        <w:t>研究含沙水流泥沙悬浮紊动能量耗散机制，研发含沙水流水利要素测量新技术，揭示被覆空间格局对水流阻控效应，探明水流输沙饱和系数非线性响应机制，构建黄河水沙输移预测模型，提出水沙调控的最佳水力阈值；研究高含沙水流紊动能量传递与耗散特征，揭示高效输沙与平衡输沙的偶联机制，提出黄河中上游河道高效输沙模式与水沙调控技术。</w:t>
      </w:r>
    </w:p>
    <w:p>
      <w:pPr>
        <w:spacing w:line="360" w:lineRule="auto"/>
        <w:ind w:firstLine="643" w:firstLineChars="200"/>
        <w:rPr>
          <w:rFonts w:ascii="Times New Roman" w:hAnsi="Times New Roman" w:eastAsia="仿宋" w:cs="Times New Roman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" w:cs="Times New Roman"/>
          <w:b/>
          <w:color w:val="000000"/>
          <w:kern w:val="0"/>
          <w:sz w:val="32"/>
          <w:szCs w:val="32"/>
        </w:rPr>
        <w:t>考核指标：</w:t>
      </w: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32"/>
        </w:rPr>
        <w:t>构建黄河水沙输移预测模型</w:t>
      </w:r>
      <w:r>
        <w:rPr>
          <w:rFonts w:ascii="Times New Roman" w:hAnsi="Times New Roman" w:eastAsia="仿宋" w:cs="Times New Roman"/>
          <w:color w:val="000000"/>
          <w:kern w:val="0"/>
          <w:sz w:val="32"/>
          <w:szCs w:val="32"/>
        </w:rPr>
        <w:t>1</w:t>
      </w: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32"/>
        </w:rPr>
        <w:t>个，研发含沙水流水利要素测量新技术</w:t>
      </w:r>
      <w:r>
        <w:rPr>
          <w:rFonts w:ascii="Times New Roman" w:hAnsi="Times New Roman" w:eastAsia="仿宋" w:cs="Times New Roman"/>
          <w:color w:val="000000"/>
          <w:kern w:val="0"/>
          <w:sz w:val="32"/>
          <w:szCs w:val="32"/>
        </w:rPr>
        <w:t>1</w:t>
      </w: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32"/>
        </w:rPr>
        <w:t>套，提出黄河中游河道高效输沙模式</w:t>
      </w:r>
      <w:r>
        <w:rPr>
          <w:rFonts w:ascii="Times New Roman" w:hAnsi="Times New Roman" w:eastAsia="仿宋" w:cs="Times New Roman"/>
          <w:color w:val="000000"/>
          <w:kern w:val="0"/>
          <w:sz w:val="32"/>
          <w:szCs w:val="32"/>
        </w:rPr>
        <w:t>1</w:t>
      </w: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32"/>
        </w:rPr>
        <w:t>个，构建河道水沙调控关键技术</w:t>
      </w:r>
      <w:r>
        <w:rPr>
          <w:rFonts w:ascii="Times New Roman" w:hAnsi="Times New Roman" w:eastAsia="仿宋" w:cs="Times New Roman"/>
          <w:color w:val="000000"/>
          <w:kern w:val="0"/>
          <w:sz w:val="32"/>
          <w:szCs w:val="32"/>
        </w:rPr>
        <w:t>1</w:t>
      </w: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32"/>
        </w:rPr>
        <w:t>套，发表校</w:t>
      </w:r>
      <w:r>
        <w:rPr>
          <w:rFonts w:ascii="Times New Roman" w:hAnsi="Times New Roman" w:eastAsia="仿宋" w:cs="Times New Roman"/>
          <w:color w:val="000000"/>
          <w:kern w:val="0"/>
          <w:sz w:val="32"/>
          <w:szCs w:val="32"/>
        </w:rPr>
        <w:t>G2</w:t>
      </w: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32"/>
        </w:rPr>
        <w:t>论文</w:t>
      </w:r>
      <w:r>
        <w:rPr>
          <w:rFonts w:ascii="Times New Roman" w:hAnsi="Times New Roman" w:eastAsia="仿宋" w:cs="Times New Roman"/>
          <w:color w:val="000000"/>
          <w:kern w:val="0"/>
          <w:sz w:val="32"/>
          <w:szCs w:val="32"/>
        </w:rPr>
        <w:t>2</w:t>
      </w: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32"/>
        </w:rPr>
        <w:t>篇。</w:t>
      </w:r>
    </w:p>
    <w:p>
      <w:pPr>
        <w:spacing w:line="360" w:lineRule="auto"/>
        <w:rPr>
          <w:rFonts w:ascii="Times New Roman" w:hAnsi="Times New Roman" w:eastAsia="仿宋" w:cs="Times New Roman"/>
          <w:b/>
          <w:bCs/>
          <w:color w:val="000000"/>
          <w:kern w:val="0"/>
          <w:sz w:val="32"/>
          <w:szCs w:val="32"/>
        </w:rPr>
      </w:pPr>
      <w:r>
        <w:rPr>
          <w:rFonts w:ascii="Times New Roman" w:hAnsi="Times New Roman" w:eastAsia="仿宋" w:cs="Times New Roman"/>
          <w:b/>
          <w:bCs/>
          <w:color w:val="000000"/>
          <w:kern w:val="0"/>
          <w:sz w:val="32"/>
          <w:szCs w:val="32"/>
        </w:rPr>
        <w:t>（4）</w:t>
      </w:r>
      <w:r>
        <w:rPr>
          <w:rFonts w:hint="eastAsia" w:ascii="Times New Roman" w:hAnsi="Times New Roman" w:eastAsia="仿宋" w:cs="Times New Roman"/>
          <w:b/>
          <w:bCs/>
          <w:color w:val="000000"/>
          <w:kern w:val="0"/>
          <w:sz w:val="32"/>
          <w:szCs w:val="32"/>
        </w:rPr>
        <w:t>黄河中游</w:t>
      </w:r>
      <w:r>
        <w:rPr>
          <w:rFonts w:ascii="Times New Roman" w:hAnsi="Times New Roman" w:eastAsia="仿宋" w:cs="Times New Roman"/>
          <w:b/>
          <w:bCs/>
          <w:color w:val="000000"/>
          <w:kern w:val="0"/>
          <w:sz w:val="32"/>
          <w:szCs w:val="32"/>
        </w:rPr>
        <w:t>农业面源污染综合治理模式构建与示范</w:t>
      </w:r>
    </w:p>
    <w:p>
      <w:pPr>
        <w:pStyle w:val="13"/>
        <w:adjustRightInd w:val="0"/>
        <w:snapToGrid w:val="0"/>
        <w:spacing w:line="360" w:lineRule="auto"/>
        <w:ind w:firstLine="643"/>
        <w:rPr>
          <w:rFonts w:ascii="Times New Roman" w:hAnsi="Times New Roman" w:eastAsia="仿宋" w:cs="Times New Roman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" w:cs="Times New Roman"/>
          <w:b/>
          <w:bCs/>
          <w:color w:val="000000"/>
          <w:kern w:val="0"/>
          <w:sz w:val="32"/>
          <w:szCs w:val="32"/>
        </w:rPr>
        <w:t>研究内容：</w:t>
      </w:r>
      <w:r>
        <w:rPr>
          <w:rFonts w:ascii="Times New Roman" w:hAnsi="Times New Roman" w:eastAsia="仿宋" w:cs="Times New Roman"/>
          <w:color w:val="000000"/>
          <w:kern w:val="0"/>
          <w:sz w:val="32"/>
          <w:szCs w:val="32"/>
        </w:rPr>
        <w:t>开展源头—过程—末端全路径农业面源污染综合治理模式构建与示范，流域面源污染溯源技术与减污效益评价；农村水环境污染分类治理模式构建与资源化利用示范，农业废弃物处理处置与资源化利用，矿区生态环境修复与土地污染综合治理，农村生态环境综合治理模式。</w:t>
      </w:r>
    </w:p>
    <w:p>
      <w:pPr>
        <w:autoSpaceDE w:val="0"/>
        <w:autoSpaceDN w:val="0"/>
        <w:adjustRightInd w:val="0"/>
        <w:spacing w:line="360" w:lineRule="auto"/>
        <w:ind w:firstLine="643" w:firstLineChars="200"/>
        <w:rPr>
          <w:rFonts w:ascii="Times New Roman" w:hAnsi="Times New Roman" w:eastAsia="仿宋" w:cs="Times New Roman"/>
          <w:b/>
          <w:bCs/>
          <w:color w:val="000000"/>
          <w:kern w:val="0"/>
          <w:sz w:val="32"/>
          <w:szCs w:val="32"/>
        </w:rPr>
      </w:pPr>
      <w:r>
        <w:rPr>
          <w:rFonts w:ascii="Times New Roman" w:hAnsi="Times New Roman" w:eastAsia="仿宋" w:cs="Times New Roman"/>
          <w:b/>
          <w:bCs/>
          <w:color w:val="000000"/>
          <w:kern w:val="0"/>
          <w:sz w:val="32"/>
          <w:szCs w:val="32"/>
        </w:rPr>
        <w:t>考核指标：</w:t>
      </w:r>
      <w:r>
        <w:rPr>
          <w:rFonts w:ascii="Times New Roman" w:hAnsi="Times New Roman" w:eastAsia="仿宋" w:cs="Times New Roman"/>
          <w:color w:val="000000"/>
          <w:kern w:val="0"/>
          <w:sz w:val="32"/>
          <w:szCs w:val="32"/>
        </w:rPr>
        <w:t>建立农业面源污染综合治理模式1个，</w:t>
      </w:r>
      <w:r>
        <w:rPr>
          <w:rFonts w:ascii="Times New Roman" w:hAnsi="Times New Roman" w:eastAsia="仿宋" w:cs="Times New Roman"/>
          <w:bCs/>
          <w:color w:val="000000"/>
          <w:kern w:val="0"/>
          <w:sz w:val="32"/>
          <w:szCs w:val="32"/>
        </w:rPr>
        <w:t>开发</w:t>
      </w:r>
      <w:r>
        <w:rPr>
          <w:rFonts w:ascii="Times New Roman" w:hAnsi="Times New Roman" w:eastAsia="仿宋" w:cs="Times New Roman"/>
          <w:color w:val="000000"/>
          <w:kern w:val="0"/>
          <w:sz w:val="32"/>
          <w:szCs w:val="32"/>
        </w:rPr>
        <w:t>农业废弃物资源化利用技术1套，提出农村生态环境综合治理模式1-2，提交农村生态环境综合治理建议报告1份。</w:t>
      </w:r>
    </w:p>
    <w:p>
      <w:pPr>
        <w:adjustRightInd w:val="0"/>
        <w:snapToGrid w:val="0"/>
        <w:spacing w:line="360" w:lineRule="auto"/>
        <w:rPr>
          <w:rFonts w:ascii="Times New Roman" w:hAnsi="Times New Roman" w:eastAsia="仿宋" w:cs="Times New Roman"/>
          <w:b/>
          <w:bCs/>
          <w:color w:val="000000"/>
          <w:kern w:val="0"/>
          <w:sz w:val="32"/>
          <w:szCs w:val="32"/>
        </w:rPr>
      </w:pPr>
      <w:r>
        <w:rPr>
          <w:rFonts w:ascii="Times New Roman" w:hAnsi="Times New Roman" w:eastAsia="仿宋" w:cs="Times New Roman"/>
          <w:b/>
          <w:bCs/>
          <w:color w:val="000000"/>
          <w:kern w:val="0"/>
          <w:sz w:val="32"/>
          <w:szCs w:val="32"/>
        </w:rPr>
        <w:t>（5）</w:t>
      </w:r>
      <w:r>
        <w:rPr>
          <w:rFonts w:hint="eastAsia" w:ascii="Times New Roman" w:hAnsi="Times New Roman" w:eastAsia="仿宋" w:cs="Times New Roman"/>
          <w:b/>
          <w:bCs/>
          <w:color w:val="000000"/>
          <w:kern w:val="0"/>
          <w:sz w:val="32"/>
          <w:szCs w:val="32"/>
        </w:rPr>
        <w:t>黄河中游</w:t>
      </w:r>
      <w:r>
        <w:rPr>
          <w:rFonts w:ascii="Times New Roman" w:hAnsi="Times New Roman" w:eastAsia="仿宋" w:cs="Times New Roman"/>
          <w:b/>
          <w:bCs/>
          <w:color w:val="000000"/>
          <w:kern w:val="0"/>
          <w:sz w:val="32"/>
          <w:szCs w:val="32"/>
        </w:rPr>
        <w:t>中低产田耕地快速增碳培肥理论与产能提升技术</w:t>
      </w:r>
    </w:p>
    <w:p>
      <w:pPr>
        <w:spacing w:line="360" w:lineRule="auto"/>
        <w:ind w:firstLine="643" w:firstLineChars="200"/>
        <w:rPr>
          <w:rFonts w:ascii="Times New Roman" w:hAnsi="Times New Roman" w:eastAsia="仿宋" w:cs="Times New Roman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" w:cs="Times New Roman"/>
          <w:b/>
          <w:bCs/>
          <w:color w:val="000000"/>
          <w:kern w:val="0"/>
          <w:sz w:val="32"/>
          <w:szCs w:val="32"/>
        </w:rPr>
        <w:t>研究内容：</w:t>
      </w:r>
      <w:r>
        <w:rPr>
          <w:rFonts w:ascii="Times New Roman" w:hAnsi="Times New Roman" w:eastAsia="仿宋" w:cs="Times New Roman"/>
          <w:color w:val="000000"/>
          <w:kern w:val="0"/>
          <w:sz w:val="32"/>
          <w:szCs w:val="32"/>
        </w:rPr>
        <w:t>研究中低产田土壤碳储量、耕地质量演变及其区域分异特征，创新耕层土壤快速增碳培肥与结构调优改良关键技术，结合科学施肥、作物高产等新理论，土壤调理剂等改土新产品，形成中低产田土壤增碳培肥与产能协同提升的区域方案，创新耕层土壤快速增碳培肥与结构调优理论与技术。</w:t>
      </w:r>
    </w:p>
    <w:p>
      <w:pPr>
        <w:spacing w:line="360" w:lineRule="auto"/>
        <w:ind w:firstLine="643" w:firstLineChars="200"/>
        <w:rPr>
          <w:rFonts w:ascii="Times New Roman" w:hAnsi="Times New Roman" w:eastAsia="仿宋" w:cs="Times New Roman"/>
          <w:b/>
          <w:bCs/>
          <w:color w:val="000000"/>
          <w:kern w:val="0"/>
          <w:sz w:val="32"/>
          <w:szCs w:val="32"/>
        </w:rPr>
      </w:pPr>
      <w:r>
        <w:rPr>
          <w:rFonts w:ascii="Times New Roman" w:hAnsi="Times New Roman" w:eastAsia="仿宋" w:cs="Times New Roman"/>
          <w:b/>
          <w:bCs/>
          <w:color w:val="000000"/>
          <w:kern w:val="0"/>
          <w:sz w:val="32"/>
          <w:szCs w:val="32"/>
        </w:rPr>
        <w:t>考核指标：</w:t>
      </w:r>
      <w:r>
        <w:rPr>
          <w:rFonts w:ascii="Times New Roman" w:hAnsi="Times New Roman" w:eastAsia="仿宋" w:cs="Times New Roman"/>
          <w:color w:val="000000"/>
          <w:kern w:val="0"/>
          <w:sz w:val="32"/>
          <w:szCs w:val="32"/>
        </w:rPr>
        <w:t>研发耕层土壤快速增碳培肥关键技术1套，开发土壤调理剂等改土新产品1项，提交区域中低产田土壤增碳培肥与产能协同提升的建议报告1份，发表校G2论文1篇。</w:t>
      </w:r>
    </w:p>
    <w:p>
      <w:pPr>
        <w:spacing w:line="360" w:lineRule="auto"/>
        <w:rPr>
          <w:rFonts w:ascii="Times New Roman" w:hAnsi="Times New Roman" w:eastAsia="仿宋" w:cs="Times New Roman"/>
          <w:b/>
          <w:bCs/>
          <w:color w:val="000000"/>
          <w:kern w:val="0"/>
          <w:sz w:val="32"/>
          <w:szCs w:val="32"/>
        </w:rPr>
      </w:pPr>
      <w:r>
        <w:rPr>
          <w:rFonts w:ascii="Times New Roman" w:hAnsi="Times New Roman" w:eastAsia="仿宋" w:cs="Times New Roman"/>
          <w:b/>
          <w:bCs/>
          <w:color w:val="000000"/>
          <w:kern w:val="0"/>
          <w:sz w:val="32"/>
          <w:szCs w:val="32"/>
        </w:rPr>
        <w:t>（6）</w:t>
      </w:r>
      <w:r>
        <w:rPr>
          <w:rFonts w:hint="eastAsia" w:ascii="Times New Roman" w:hAnsi="Times New Roman" w:eastAsia="仿宋" w:cs="Times New Roman"/>
          <w:b/>
          <w:bCs/>
          <w:color w:val="000000"/>
          <w:kern w:val="0"/>
          <w:sz w:val="32"/>
          <w:szCs w:val="32"/>
        </w:rPr>
        <w:t>黄河中游</w:t>
      </w:r>
      <w:r>
        <w:rPr>
          <w:rFonts w:ascii="Times New Roman" w:hAnsi="Times New Roman" w:eastAsia="仿宋" w:cs="Times New Roman"/>
          <w:b/>
          <w:bCs/>
          <w:color w:val="000000"/>
          <w:kern w:val="0"/>
          <w:sz w:val="32"/>
          <w:szCs w:val="32"/>
        </w:rPr>
        <w:t>旱作农田水土资源高效利用与调控</w:t>
      </w:r>
    </w:p>
    <w:p>
      <w:pPr>
        <w:spacing w:line="360" w:lineRule="auto"/>
        <w:ind w:firstLine="643" w:firstLineChars="200"/>
        <w:rPr>
          <w:rFonts w:ascii="Times New Roman" w:hAnsi="Times New Roman" w:eastAsia="仿宋" w:cs="Times New Roman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" w:cs="Times New Roman"/>
          <w:b/>
          <w:bCs/>
          <w:color w:val="000000"/>
          <w:kern w:val="0"/>
          <w:sz w:val="32"/>
          <w:szCs w:val="32"/>
        </w:rPr>
        <w:t>研究方向：</w:t>
      </w:r>
      <w:r>
        <w:rPr>
          <w:rFonts w:ascii="Times New Roman" w:hAnsi="Times New Roman" w:eastAsia="仿宋" w:cs="Times New Roman"/>
          <w:color w:val="000000"/>
          <w:kern w:val="0"/>
          <w:sz w:val="32"/>
          <w:szCs w:val="32"/>
        </w:rPr>
        <w:t>研究旱作农田种植制度多样性对生产力和抗逆能力的促控机制，水土资源高效利用生理机制和调控措施，旱区作物高效用水的基因型-环境-栽培管理之间的响应机制与调控机理，未来作物应对气候变化的生理生态过程和分子机理，提高作物应对干旱环境的能力。</w:t>
      </w:r>
    </w:p>
    <w:p>
      <w:pPr>
        <w:spacing w:line="360" w:lineRule="auto"/>
        <w:ind w:firstLine="643" w:firstLineChars="200"/>
        <w:rPr>
          <w:rFonts w:ascii="Times New Roman" w:hAnsi="Times New Roman" w:eastAsia="仿宋" w:cs="Times New Roman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" w:cs="Times New Roman"/>
          <w:b/>
          <w:bCs/>
          <w:color w:val="000000"/>
          <w:kern w:val="0"/>
          <w:sz w:val="32"/>
          <w:szCs w:val="32"/>
        </w:rPr>
        <w:t>考核指标：</w:t>
      </w:r>
      <w:r>
        <w:rPr>
          <w:rFonts w:ascii="Times New Roman" w:hAnsi="Times New Roman" w:eastAsia="仿宋" w:cs="Times New Roman"/>
          <w:bCs/>
          <w:color w:val="000000"/>
          <w:kern w:val="0"/>
          <w:sz w:val="32"/>
          <w:szCs w:val="32"/>
        </w:rPr>
        <w:t>揭示</w:t>
      </w:r>
      <w:r>
        <w:rPr>
          <w:rFonts w:ascii="Times New Roman" w:hAnsi="Times New Roman" w:eastAsia="仿宋" w:cs="Times New Roman"/>
          <w:color w:val="000000"/>
          <w:kern w:val="0"/>
          <w:sz w:val="32"/>
          <w:szCs w:val="32"/>
        </w:rPr>
        <w:t>旱作农田种植制度对生产力和抗逆能力的促控机制，揭示水土资源高效利用的生理机制，提出气候变化下旱地作物应对干旱环境调控措施，发表校G2论文1篇。</w:t>
      </w:r>
    </w:p>
    <w:p>
      <w:pPr>
        <w:spacing w:line="360" w:lineRule="auto"/>
        <w:rPr>
          <w:rFonts w:ascii="Times New Roman" w:hAnsi="Times New Roman" w:eastAsia="仿宋" w:cs="Times New Roman"/>
          <w:b/>
          <w:bCs/>
          <w:color w:val="000000"/>
          <w:kern w:val="0"/>
          <w:sz w:val="32"/>
          <w:szCs w:val="32"/>
        </w:rPr>
      </w:pPr>
      <w:r>
        <w:rPr>
          <w:rFonts w:ascii="Times New Roman" w:hAnsi="Times New Roman" w:eastAsia="仿宋" w:cs="Times New Roman"/>
          <w:b/>
          <w:bCs/>
          <w:color w:val="000000"/>
          <w:kern w:val="0"/>
          <w:sz w:val="32"/>
          <w:szCs w:val="32"/>
        </w:rPr>
        <w:t>（7）黄河流域乡村振兴智慧监测与评估</w:t>
      </w:r>
    </w:p>
    <w:p>
      <w:pPr>
        <w:spacing w:line="360" w:lineRule="auto"/>
        <w:ind w:firstLine="643" w:firstLineChars="200"/>
        <w:rPr>
          <w:rFonts w:ascii="Times New Roman" w:hAnsi="Times New Roman" w:eastAsia="仿宋" w:cs="Times New Roman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" w:cs="Times New Roman"/>
          <w:b/>
          <w:bCs/>
          <w:color w:val="000000"/>
          <w:kern w:val="0"/>
          <w:sz w:val="32"/>
          <w:szCs w:val="32"/>
        </w:rPr>
        <w:t>研究内容：</w:t>
      </w:r>
      <w:r>
        <w:rPr>
          <w:rFonts w:ascii="Times New Roman" w:hAnsi="Times New Roman" w:eastAsia="仿宋" w:cs="Times New Roman"/>
          <w:color w:val="000000"/>
          <w:kern w:val="0"/>
          <w:sz w:val="32"/>
          <w:szCs w:val="32"/>
        </w:rPr>
        <w:t>开展黄河流域乡村本底状况调查行动计划，构建基于GIS平台的完善乡村类型与特征信息资源管理与共享系统，建成基于GIS平台的黄河流域“乡情”大数据运营与管理中心，开展乡村振兴监测与评估实施的相关标准、指南和培训方案的制订，构建西北乡村振兴智能农业云平台、开展乡村振兴云服务工作。</w:t>
      </w:r>
    </w:p>
    <w:p>
      <w:pPr>
        <w:spacing w:line="360" w:lineRule="auto"/>
        <w:ind w:firstLine="643" w:firstLineChars="200"/>
        <w:rPr>
          <w:rFonts w:ascii="Times New Roman" w:hAnsi="Times New Roman" w:eastAsia="仿宋" w:cs="Times New Roman"/>
          <w:b/>
          <w:bCs/>
          <w:color w:val="000000"/>
          <w:kern w:val="0"/>
          <w:sz w:val="32"/>
          <w:szCs w:val="32"/>
        </w:rPr>
      </w:pPr>
      <w:r>
        <w:rPr>
          <w:rFonts w:ascii="Times New Roman" w:hAnsi="Times New Roman" w:eastAsia="仿宋" w:cs="Times New Roman"/>
          <w:b/>
          <w:bCs/>
          <w:color w:val="000000"/>
          <w:kern w:val="0"/>
          <w:sz w:val="32"/>
          <w:szCs w:val="32"/>
        </w:rPr>
        <w:t>考核指标：</w:t>
      </w:r>
      <w:r>
        <w:rPr>
          <w:rFonts w:ascii="Times New Roman" w:hAnsi="Times New Roman" w:eastAsia="仿宋" w:cs="Times New Roman"/>
          <w:color w:val="000000"/>
          <w:kern w:val="0"/>
          <w:sz w:val="32"/>
          <w:szCs w:val="32"/>
        </w:rPr>
        <w:t>基于GIS平台，构建完善的乡村信息资源管理与共享系统1个，建成黄河流域“乡情”大数据运营与管理中心1个，提出乡村振兴规范标准，建立西北乡村振兴智能云平台。</w:t>
      </w:r>
    </w:p>
    <w:p>
      <w:pPr>
        <w:spacing w:line="360" w:lineRule="auto"/>
        <w:rPr>
          <w:rFonts w:ascii="Times New Roman" w:hAnsi="Times New Roman" w:eastAsia="仿宋" w:cs="Times New Roman"/>
          <w:b/>
          <w:bCs/>
          <w:color w:val="000000"/>
          <w:kern w:val="0"/>
          <w:sz w:val="32"/>
          <w:szCs w:val="32"/>
        </w:rPr>
      </w:pPr>
      <w:r>
        <w:rPr>
          <w:rFonts w:ascii="Times New Roman" w:hAnsi="Times New Roman" w:eastAsia="仿宋" w:cs="Times New Roman"/>
          <w:b/>
          <w:bCs/>
          <w:color w:val="000000"/>
          <w:kern w:val="0"/>
          <w:sz w:val="32"/>
          <w:szCs w:val="32"/>
        </w:rPr>
        <w:t>（8）黄河文化资源挖掘及其精神内涵</w:t>
      </w:r>
    </w:p>
    <w:p>
      <w:pPr>
        <w:spacing w:line="360" w:lineRule="auto"/>
        <w:ind w:firstLine="643" w:firstLineChars="200"/>
        <w:rPr>
          <w:rFonts w:hint="eastAsia" w:ascii="Times New Roman" w:hAnsi="Times New Roman" w:eastAsia="仿宋" w:cs="Times New Roman"/>
          <w:b w:val="0"/>
          <w:bCs w:val="0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" w:cs="Times New Roman"/>
          <w:b/>
          <w:bCs/>
          <w:color w:val="000000"/>
          <w:kern w:val="0"/>
          <w:sz w:val="32"/>
          <w:szCs w:val="32"/>
        </w:rPr>
        <w:t>研究内容：</w:t>
      </w:r>
      <w:r>
        <w:rPr>
          <w:rFonts w:hint="eastAsia" w:ascii="Times New Roman" w:hAnsi="Times New Roman" w:eastAsia="仿宋" w:cs="Times New Roman"/>
          <w:b w:val="0"/>
          <w:bCs w:val="0"/>
          <w:color w:val="000000"/>
          <w:kern w:val="0"/>
          <w:sz w:val="32"/>
          <w:szCs w:val="32"/>
        </w:rPr>
        <w:t>从物态、制度、行为、心态等层面，系统梳理和构建黄河文化的内涵和层次，深度挖掘黄河文化蕴含的丰富精神内涵；推进黄河文化资源挖掘整理工程，系统编制黄河文化名录；协同建设黄河文化遗产保护带，推进黄河农耕文化挖掘、保护和传承，打造黄河优秀农业文化教育、体验和专门人才培养的排头兵。</w:t>
      </w:r>
    </w:p>
    <w:p>
      <w:pPr>
        <w:spacing w:line="360" w:lineRule="auto"/>
        <w:ind w:firstLine="643" w:firstLineChars="200"/>
        <w:rPr>
          <w:rFonts w:ascii="Times New Roman" w:hAnsi="Times New Roman" w:eastAsia="仿宋" w:cs="Times New Roman"/>
          <w:b/>
          <w:bCs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" w:cs="Times New Roman"/>
          <w:b/>
          <w:bCs/>
          <w:color w:val="000000"/>
          <w:kern w:val="0"/>
          <w:sz w:val="32"/>
          <w:szCs w:val="32"/>
        </w:rPr>
        <w:t>考核指标：</w:t>
      </w:r>
      <w:r>
        <w:rPr>
          <w:rFonts w:hint="eastAsia" w:ascii="Times New Roman" w:hAnsi="Times New Roman" w:eastAsia="仿宋" w:cs="Times New Roman"/>
          <w:b w:val="0"/>
          <w:bCs w:val="0"/>
          <w:color w:val="000000"/>
          <w:kern w:val="0"/>
          <w:sz w:val="32"/>
          <w:szCs w:val="32"/>
        </w:rPr>
        <w:t>系统梳理和构建黄河文化的内涵和层次，编制黄河文化名录1套；建立省级黄河优秀农业文化教育团队1个；出版著作1本或</w:t>
      </w:r>
      <w:r>
        <w:rPr>
          <w:rFonts w:ascii="Times New Roman" w:hAnsi="Times New Roman" w:eastAsia="仿宋" w:cs="Times New Roman"/>
          <w:color w:val="000000"/>
          <w:kern w:val="0"/>
          <w:sz w:val="32"/>
          <w:szCs w:val="32"/>
        </w:rPr>
        <w:t>发表校G</w:t>
      </w: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32"/>
          <w:lang w:val="en-US" w:eastAsia="zh-CN"/>
        </w:rPr>
        <w:t>3</w:t>
      </w:r>
      <w:r>
        <w:rPr>
          <w:rFonts w:ascii="Times New Roman" w:hAnsi="Times New Roman" w:eastAsia="仿宋" w:cs="Times New Roman"/>
          <w:color w:val="000000"/>
          <w:kern w:val="0"/>
          <w:sz w:val="32"/>
          <w:szCs w:val="32"/>
        </w:rPr>
        <w:t>论文1篇。</w:t>
      </w:r>
    </w:p>
    <w:p>
      <w:pPr>
        <w:spacing w:line="360" w:lineRule="auto"/>
        <w:rPr>
          <w:rFonts w:ascii="Times New Roman" w:hAnsi="Times New Roman" w:eastAsia="仿宋" w:cs="Times New Roman"/>
          <w:color w:val="000000"/>
          <w:kern w:val="0"/>
          <w:sz w:val="32"/>
          <w:szCs w:val="32"/>
        </w:rPr>
      </w:pPr>
    </w:p>
    <w:sectPr>
      <w:pgSz w:w="11906" w:h="16838"/>
      <w:pgMar w:top="1701" w:right="1418" w:bottom="113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imesNewRomanPSM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FZFSK--GBK1-0">
    <w:altName w:val="Cambria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trackRevisions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ViNGFmMWQwNTViNWZmYjVhN2NiZWQ0MTc5NjkyNDAifQ=="/>
  </w:docVars>
  <w:rsids>
    <w:rsidRoot w:val="00D169FD"/>
    <w:rsid w:val="00012B9E"/>
    <w:rsid w:val="0001658E"/>
    <w:rsid w:val="00021040"/>
    <w:rsid w:val="0002489F"/>
    <w:rsid w:val="00025CDD"/>
    <w:rsid w:val="00031F5B"/>
    <w:rsid w:val="0004384A"/>
    <w:rsid w:val="000517F5"/>
    <w:rsid w:val="00055A62"/>
    <w:rsid w:val="00074ECF"/>
    <w:rsid w:val="000916C2"/>
    <w:rsid w:val="00096788"/>
    <w:rsid w:val="000B6DBD"/>
    <w:rsid w:val="000C4960"/>
    <w:rsid w:val="000E581E"/>
    <w:rsid w:val="000E7D8A"/>
    <w:rsid w:val="0012510F"/>
    <w:rsid w:val="0012664F"/>
    <w:rsid w:val="00144F29"/>
    <w:rsid w:val="00151C3A"/>
    <w:rsid w:val="0017161E"/>
    <w:rsid w:val="0017263E"/>
    <w:rsid w:val="001761A5"/>
    <w:rsid w:val="00196776"/>
    <w:rsid w:val="001A1D84"/>
    <w:rsid w:val="001D4CB8"/>
    <w:rsid w:val="001E2929"/>
    <w:rsid w:val="001E7D72"/>
    <w:rsid w:val="00221560"/>
    <w:rsid w:val="002316EC"/>
    <w:rsid w:val="002547DE"/>
    <w:rsid w:val="0025500D"/>
    <w:rsid w:val="002663AC"/>
    <w:rsid w:val="00270175"/>
    <w:rsid w:val="00276B14"/>
    <w:rsid w:val="00282077"/>
    <w:rsid w:val="002C30F0"/>
    <w:rsid w:val="002C68E1"/>
    <w:rsid w:val="002D5E35"/>
    <w:rsid w:val="002F0571"/>
    <w:rsid w:val="002F6308"/>
    <w:rsid w:val="00311174"/>
    <w:rsid w:val="00313903"/>
    <w:rsid w:val="003217BF"/>
    <w:rsid w:val="003367A2"/>
    <w:rsid w:val="003522AA"/>
    <w:rsid w:val="003525DD"/>
    <w:rsid w:val="00355A4A"/>
    <w:rsid w:val="003560F8"/>
    <w:rsid w:val="00356D01"/>
    <w:rsid w:val="003617BE"/>
    <w:rsid w:val="00366879"/>
    <w:rsid w:val="00373CD6"/>
    <w:rsid w:val="00375D65"/>
    <w:rsid w:val="00386DCF"/>
    <w:rsid w:val="00390BAA"/>
    <w:rsid w:val="00391C81"/>
    <w:rsid w:val="003A1764"/>
    <w:rsid w:val="003B0BE0"/>
    <w:rsid w:val="003D0FE7"/>
    <w:rsid w:val="003F327F"/>
    <w:rsid w:val="003F4FD7"/>
    <w:rsid w:val="00400B22"/>
    <w:rsid w:val="00413174"/>
    <w:rsid w:val="004135A9"/>
    <w:rsid w:val="004211B8"/>
    <w:rsid w:val="00422E7D"/>
    <w:rsid w:val="004301FD"/>
    <w:rsid w:val="0044120D"/>
    <w:rsid w:val="00442942"/>
    <w:rsid w:val="00443A6A"/>
    <w:rsid w:val="00446F44"/>
    <w:rsid w:val="00463E12"/>
    <w:rsid w:val="00486D05"/>
    <w:rsid w:val="00497B69"/>
    <w:rsid w:val="004B2048"/>
    <w:rsid w:val="004B60BB"/>
    <w:rsid w:val="004C2210"/>
    <w:rsid w:val="004C3E2C"/>
    <w:rsid w:val="004D5632"/>
    <w:rsid w:val="004D7923"/>
    <w:rsid w:val="004E0E61"/>
    <w:rsid w:val="004E171F"/>
    <w:rsid w:val="004E2FCF"/>
    <w:rsid w:val="00537A80"/>
    <w:rsid w:val="005404B1"/>
    <w:rsid w:val="00545C67"/>
    <w:rsid w:val="00582EE0"/>
    <w:rsid w:val="00583237"/>
    <w:rsid w:val="00587009"/>
    <w:rsid w:val="0058714A"/>
    <w:rsid w:val="005916D0"/>
    <w:rsid w:val="005A1340"/>
    <w:rsid w:val="005A5197"/>
    <w:rsid w:val="005B3AF7"/>
    <w:rsid w:val="005C28AF"/>
    <w:rsid w:val="005D1D36"/>
    <w:rsid w:val="005D268C"/>
    <w:rsid w:val="005D7733"/>
    <w:rsid w:val="005E07D6"/>
    <w:rsid w:val="005E1B19"/>
    <w:rsid w:val="005E723D"/>
    <w:rsid w:val="0060036A"/>
    <w:rsid w:val="00606B1C"/>
    <w:rsid w:val="00632AE2"/>
    <w:rsid w:val="006457E5"/>
    <w:rsid w:val="0066352E"/>
    <w:rsid w:val="0068751E"/>
    <w:rsid w:val="006A3A75"/>
    <w:rsid w:val="006A5F79"/>
    <w:rsid w:val="006B1176"/>
    <w:rsid w:val="006B16BF"/>
    <w:rsid w:val="006B6D11"/>
    <w:rsid w:val="006D0E38"/>
    <w:rsid w:val="006D13C8"/>
    <w:rsid w:val="006D1EE2"/>
    <w:rsid w:val="006D5923"/>
    <w:rsid w:val="006F003A"/>
    <w:rsid w:val="00703E34"/>
    <w:rsid w:val="00712946"/>
    <w:rsid w:val="00715474"/>
    <w:rsid w:val="0073013F"/>
    <w:rsid w:val="00786030"/>
    <w:rsid w:val="00790DBE"/>
    <w:rsid w:val="007A49D4"/>
    <w:rsid w:val="007B1914"/>
    <w:rsid w:val="007C51CB"/>
    <w:rsid w:val="007D6261"/>
    <w:rsid w:val="007E441D"/>
    <w:rsid w:val="00825FA5"/>
    <w:rsid w:val="00845529"/>
    <w:rsid w:val="00852EAB"/>
    <w:rsid w:val="00862909"/>
    <w:rsid w:val="00864A3D"/>
    <w:rsid w:val="008710DB"/>
    <w:rsid w:val="0087539A"/>
    <w:rsid w:val="008774AA"/>
    <w:rsid w:val="008839B5"/>
    <w:rsid w:val="008B0A05"/>
    <w:rsid w:val="008E3525"/>
    <w:rsid w:val="008E38D6"/>
    <w:rsid w:val="008E5B02"/>
    <w:rsid w:val="008E7027"/>
    <w:rsid w:val="00900CFF"/>
    <w:rsid w:val="00912EE7"/>
    <w:rsid w:val="00927313"/>
    <w:rsid w:val="00961D86"/>
    <w:rsid w:val="009746B0"/>
    <w:rsid w:val="00975BC5"/>
    <w:rsid w:val="009816EF"/>
    <w:rsid w:val="00990FE9"/>
    <w:rsid w:val="009A1192"/>
    <w:rsid w:val="009B1EDD"/>
    <w:rsid w:val="009B273D"/>
    <w:rsid w:val="009B3ABA"/>
    <w:rsid w:val="009B77AD"/>
    <w:rsid w:val="009E43B8"/>
    <w:rsid w:val="00A17D2F"/>
    <w:rsid w:val="00A37919"/>
    <w:rsid w:val="00A640D5"/>
    <w:rsid w:val="00A84EAA"/>
    <w:rsid w:val="00AD1A46"/>
    <w:rsid w:val="00AD415E"/>
    <w:rsid w:val="00B0067A"/>
    <w:rsid w:val="00B0305E"/>
    <w:rsid w:val="00B05702"/>
    <w:rsid w:val="00B07E03"/>
    <w:rsid w:val="00B155C1"/>
    <w:rsid w:val="00B500AD"/>
    <w:rsid w:val="00B62FE5"/>
    <w:rsid w:val="00B76403"/>
    <w:rsid w:val="00B76B1B"/>
    <w:rsid w:val="00B81437"/>
    <w:rsid w:val="00B85AEB"/>
    <w:rsid w:val="00B914A2"/>
    <w:rsid w:val="00B96FEC"/>
    <w:rsid w:val="00BA0012"/>
    <w:rsid w:val="00BA3F54"/>
    <w:rsid w:val="00BA5F09"/>
    <w:rsid w:val="00BC61EF"/>
    <w:rsid w:val="00BD1A19"/>
    <w:rsid w:val="00BE5F3A"/>
    <w:rsid w:val="00BE7DA0"/>
    <w:rsid w:val="00C166AE"/>
    <w:rsid w:val="00C207C4"/>
    <w:rsid w:val="00C26EF0"/>
    <w:rsid w:val="00C31919"/>
    <w:rsid w:val="00C32FF2"/>
    <w:rsid w:val="00C3678B"/>
    <w:rsid w:val="00C371AD"/>
    <w:rsid w:val="00C45EC3"/>
    <w:rsid w:val="00C50645"/>
    <w:rsid w:val="00C572D6"/>
    <w:rsid w:val="00C57F79"/>
    <w:rsid w:val="00CB7D25"/>
    <w:rsid w:val="00CE020F"/>
    <w:rsid w:val="00CE05E2"/>
    <w:rsid w:val="00CE7134"/>
    <w:rsid w:val="00CF736C"/>
    <w:rsid w:val="00D13685"/>
    <w:rsid w:val="00D169FD"/>
    <w:rsid w:val="00D175F5"/>
    <w:rsid w:val="00D235B2"/>
    <w:rsid w:val="00D23ECA"/>
    <w:rsid w:val="00D24AD2"/>
    <w:rsid w:val="00D3755D"/>
    <w:rsid w:val="00D440B4"/>
    <w:rsid w:val="00D45508"/>
    <w:rsid w:val="00D514DD"/>
    <w:rsid w:val="00D57DA0"/>
    <w:rsid w:val="00D64DE3"/>
    <w:rsid w:val="00D64DF2"/>
    <w:rsid w:val="00D778AA"/>
    <w:rsid w:val="00D77DBC"/>
    <w:rsid w:val="00D824F6"/>
    <w:rsid w:val="00DC7C16"/>
    <w:rsid w:val="00DE6FE5"/>
    <w:rsid w:val="00E21250"/>
    <w:rsid w:val="00E2356E"/>
    <w:rsid w:val="00E24E95"/>
    <w:rsid w:val="00E32972"/>
    <w:rsid w:val="00E34E9F"/>
    <w:rsid w:val="00E47286"/>
    <w:rsid w:val="00E51670"/>
    <w:rsid w:val="00E51DD6"/>
    <w:rsid w:val="00E64FCC"/>
    <w:rsid w:val="00E80AE8"/>
    <w:rsid w:val="00E81C12"/>
    <w:rsid w:val="00E85EE2"/>
    <w:rsid w:val="00E91636"/>
    <w:rsid w:val="00EA0253"/>
    <w:rsid w:val="00EA493C"/>
    <w:rsid w:val="00EA5340"/>
    <w:rsid w:val="00EB1168"/>
    <w:rsid w:val="00EB624D"/>
    <w:rsid w:val="00ED32CB"/>
    <w:rsid w:val="00EE1C66"/>
    <w:rsid w:val="00EF097D"/>
    <w:rsid w:val="00EF4736"/>
    <w:rsid w:val="00EF60B7"/>
    <w:rsid w:val="00F342FC"/>
    <w:rsid w:val="00F352AF"/>
    <w:rsid w:val="00F36053"/>
    <w:rsid w:val="00F373BD"/>
    <w:rsid w:val="00F375BE"/>
    <w:rsid w:val="00F408B0"/>
    <w:rsid w:val="00F50D33"/>
    <w:rsid w:val="00F50D99"/>
    <w:rsid w:val="00F63C4A"/>
    <w:rsid w:val="00F7177A"/>
    <w:rsid w:val="00F75F34"/>
    <w:rsid w:val="00F82AE4"/>
    <w:rsid w:val="00F91F0B"/>
    <w:rsid w:val="00F9469F"/>
    <w:rsid w:val="00FA7AD5"/>
    <w:rsid w:val="00FC09DD"/>
    <w:rsid w:val="00FC5A2A"/>
    <w:rsid w:val="00FD489A"/>
    <w:rsid w:val="68A32657"/>
    <w:rsid w:val="6F9B3F61"/>
    <w:rsid w:val="7ACE2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paragraph" w:customStyle="1" w:styleId="10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eastAsia="仿宋_GB2312" w:cs="仿宋_GB2312" w:hAnsiTheme="minorHAnsi"/>
      <w:color w:val="000000"/>
      <w:kern w:val="0"/>
      <w:sz w:val="24"/>
      <w:szCs w:val="24"/>
      <w:lang w:val="en-US" w:eastAsia="zh-CN" w:bidi="ar-SA"/>
    </w:rPr>
  </w:style>
  <w:style w:type="character" w:customStyle="1" w:styleId="11">
    <w:name w:val="fontstyle01"/>
    <w:basedOn w:val="7"/>
    <w:qFormat/>
    <w:uiPriority w:val="0"/>
    <w:rPr>
      <w:rFonts w:hint="default" w:ascii="TimesNewRomanPSMT" w:hAnsi="TimesNewRomanPSMT"/>
      <w:color w:val="000000"/>
      <w:sz w:val="32"/>
      <w:szCs w:val="32"/>
    </w:rPr>
  </w:style>
  <w:style w:type="character" w:customStyle="1" w:styleId="12">
    <w:name w:val="fontstyle21"/>
    <w:basedOn w:val="7"/>
    <w:qFormat/>
    <w:uiPriority w:val="0"/>
    <w:rPr>
      <w:rFonts w:hint="default" w:ascii="FZFSK--GBK1-0" w:hAnsi="FZFSK--GBK1-0"/>
      <w:color w:val="000000"/>
      <w:sz w:val="32"/>
      <w:szCs w:val="32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字符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389D92-98AD-43AC-80B5-668702DA4DB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2431</Words>
  <Characters>2459</Characters>
  <Lines>17</Lines>
  <Paragraphs>4</Paragraphs>
  <TotalTime>12</TotalTime>
  <ScaleCrop>false</ScaleCrop>
  <LinksUpToDate>false</LinksUpToDate>
  <CharactersWithSpaces>2461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2022-04-21T01:04:00Z</dcterms:created>
  <dc:creator>deng lei</dc:creator>
  <cp:lastModifiedBy>雪峰</cp:lastModifiedBy>
  <dcterms:modified xsi:type="dcterms:W3CDTF">2022-06-17T07:36:30Z</dcterms:modified>
  <cp:revision>136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B5CBC2628DFE4B01891A3ADE9A444885</vt:lpwstr>
  </property>
</Properties>
</file>