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EC94">
      <w:pPr>
        <w:spacing w:before="104" w:line="224" w:lineRule="auto"/>
        <w:ind w:left="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附件1</w:t>
      </w:r>
      <w:bookmarkStart w:id="0" w:name="_GoBack"/>
      <w:bookmarkEnd w:id="0"/>
    </w:p>
    <w:p w14:paraId="6C57B4FE">
      <w:pPr>
        <w:spacing w:line="251" w:lineRule="auto"/>
        <w:rPr>
          <w:rFonts w:ascii="Arial"/>
          <w:sz w:val="21"/>
        </w:rPr>
      </w:pPr>
    </w:p>
    <w:p w14:paraId="0457F0D8">
      <w:pPr>
        <w:spacing w:before="140" w:line="213" w:lineRule="auto"/>
        <w:ind w:left="37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南疆兵团科技创新联盟科技成果统计表</w:t>
      </w:r>
    </w:p>
    <w:tbl>
      <w:tblPr>
        <w:tblStyle w:val="5"/>
        <w:tblW w:w="14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329"/>
        <w:gridCol w:w="1879"/>
        <w:gridCol w:w="1579"/>
        <w:gridCol w:w="5916"/>
        <w:gridCol w:w="2089"/>
        <w:gridCol w:w="1364"/>
      </w:tblGrid>
      <w:tr w14:paraId="063B1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434" w:type="dxa"/>
            <w:textDirection w:val="tbRlV"/>
            <w:vAlign w:val="top"/>
          </w:tcPr>
          <w:p w14:paraId="06748A93">
            <w:pPr>
              <w:pStyle w:val="4"/>
              <w:spacing w:before="121" w:line="199" w:lineRule="auto"/>
              <w:ind w:left="154"/>
            </w:pPr>
            <w:r>
              <w:t>序</w:t>
            </w:r>
            <w:r>
              <w:rPr>
                <w:spacing w:val="71"/>
              </w:rPr>
              <w:t xml:space="preserve"> </w:t>
            </w:r>
            <w:r>
              <w:t>号</w:t>
            </w:r>
          </w:p>
        </w:tc>
        <w:tc>
          <w:tcPr>
            <w:tcW w:w="1329" w:type="dxa"/>
            <w:vAlign w:val="top"/>
          </w:tcPr>
          <w:p w14:paraId="76B853D1">
            <w:pPr>
              <w:spacing w:line="284" w:lineRule="auto"/>
              <w:rPr>
                <w:rFonts w:ascii="Arial"/>
                <w:sz w:val="21"/>
              </w:rPr>
            </w:pPr>
          </w:p>
          <w:p w14:paraId="7B7481F7">
            <w:pPr>
              <w:pStyle w:val="4"/>
              <w:spacing w:before="68" w:line="220" w:lineRule="auto"/>
              <w:ind w:left="230"/>
            </w:pPr>
            <w:r>
              <w:rPr>
                <w:spacing w:val="2"/>
              </w:rPr>
              <w:t>单位名称</w:t>
            </w:r>
          </w:p>
        </w:tc>
        <w:tc>
          <w:tcPr>
            <w:tcW w:w="1879" w:type="dxa"/>
            <w:vAlign w:val="top"/>
          </w:tcPr>
          <w:p w14:paraId="6ABBB909">
            <w:pPr>
              <w:spacing w:line="284" w:lineRule="auto"/>
              <w:rPr>
                <w:rFonts w:ascii="Arial"/>
                <w:sz w:val="21"/>
              </w:rPr>
            </w:pPr>
          </w:p>
          <w:p w14:paraId="4C6F2D54">
            <w:pPr>
              <w:pStyle w:val="4"/>
              <w:spacing w:before="68" w:line="220" w:lineRule="auto"/>
              <w:ind w:left="511"/>
            </w:pPr>
            <w:r>
              <w:rPr>
                <w:spacing w:val="2"/>
              </w:rPr>
              <w:t>成果名称</w:t>
            </w:r>
          </w:p>
        </w:tc>
        <w:tc>
          <w:tcPr>
            <w:tcW w:w="1579" w:type="dxa"/>
            <w:vAlign w:val="top"/>
          </w:tcPr>
          <w:p w14:paraId="06470002">
            <w:pPr>
              <w:spacing w:line="283" w:lineRule="auto"/>
              <w:rPr>
                <w:rFonts w:ascii="Arial"/>
                <w:sz w:val="21"/>
              </w:rPr>
            </w:pPr>
          </w:p>
          <w:p w14:paraId="19880592">
            <w:pPr>
              <w:pStyle w:val="4"/>
              <w:spacing w:before="69" w:line="219" w:lineRule="auto"/>
              <w:ind w:left="362"/>
            </w:pPr>
            <w:r>
              <w:rPr>
                <w:spacing w:val="-2"/>
              </w:rPr>
              <w:t>产业领域</w:t>
            </w:r>
          </w:p>
        </w:tc>
        <w:tc>
          <w:tcPr>
            <w:tcW w:w="5916" w:type="dxa"/>
            <w:vAlign w:val="top"/>
          </w:tcPr>
          <w:p w14:paraId="721E33FA">
            <w:pPr>
              <w:pStyle w:val="4"/>
              <w:spacing w:before="24" w:line="220" w:lineRule="auto"/>
              <w:ind w:left="2533"/>
            </w:pPr>
            <w:r>
              <w:rPr>
                <w:spacing w:val="-2"/>
              </w:rPr>
              <w:t>成果描述</w:t>
            </w:r>
          </w:p>
          <w:p w14:paraId="7DEE2FCE">
            <w:pPr>
              <w:pStyle w:val="4"/>
              <w:spacing w:before="58" w:line="251" w:lineRule="auto"/>
              <w:ind w:left="62" w:hanging="49"/>
            </w:pPr>
            <w:r>
              <w:rPr>
                <w:spacing w:val="-3"/>
              </w:rPr>
              <w:t>(成果的主要内容、已经达到的技术指标或实施效</w:t>
            </w:r>
            <w:r>
              <w:rPr>
                <w:spacing w:val="-4"/>
              </w:rPr>
              <w:t>果、成果应用场</w:t>
            </w:r>
            <w:r>
              <w:t xml:space="preserve"> </w:t>
            </w:r>
            <w:r>
              <w:rPr>
                <w:spacing w:val="2"/>
              </w:rPr>
              <w:t>景等，字数控制在200字以内)</w:t>
            </w:r>
          </w:p>
        </w:tc>
        <w:tc>
          <w:tcPr>
            <w:tcW w:w="2089" w:type="dxa"/>
            <w:vAlign w:val="top"/>
          </w:tcPr>
          <w:p w14:paraId="04C2B773">
            <w:pPr>
              <w:spacing w:line="283" w:lineRule="auto"/>
              <w:rPr>
                <w:rFonts w:ascii="Arial"/>
                <w:sz w:val="21"/>
              </w:rPr>
            </w:pPr>
          </w:p>
          <w:p w14:paraId="009ACC38">
            <w:pPr>
              <w:pStyle w:val="4"/>
              <w:spacing w:before="69" w:line="219" w:lineRule="auto"/>
              <w:ind w:left="407"/>
            </w:pPr>
            <w:r>
              <w:rPr>
                <w:spacing w:val="2"/>
              </w:rPr>
              <w:t>知识产权编号</w:t>
            </w:r>
          </w:p>
        </w:tc>
        <w:tc>
          <w:tcPr>
            <w:tcW w:w="1364" w:type="dxa"/>
            <w:vAlign w:val="top"/>
          </w:tcPr>
          <w:p w14:paraId="7DBD7450">
            <w:pPr>
              <w:pStyle w:val="4"/>
              <w:spacing w:before="165" w:line="268" w:lineRule="auto"/>
              <w:ind w:left="258" w:right="243"/>
            </w:pPr>
            <w:r>
              <w:rPr>
                <w:spacing w:val="2"/>
              </w:rPr>
              <w:t xml:space="preserve">联系人及 </w:t>
            </w:r>
            <w:r>
              <w:rPr>
                <w:spacing w:val="-2"/>
              </w:rPr>
              <w:t>联系方式</w:t>
            </w:r>
          </w:p>
        </w:tc>
      </w:tr>
      <w:tr w14:paraId="286F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jc w:val="center"/>
        </w:trPr>
        <w:tc>
          <w:tcPr>
            <w:tcW w:w="434" w:type="dxa"/>
            <w:vAlign w:val="top"/>
          </w:tcPr>
          <w:p w14:paraId="1D30B5C3">
            <w:pPr>
              <w:spacing w:line="259" w:lineRule="auto"/>
              <w:rPr>
                <w:rFonts w:ascii="Arial"/>
                <w:sz w:val="21"/>
              </w:rPr>
            </w:pPr>
          </w:p>
          <w:p w14:paraId="62F53E01">
            <w:pPr>
              <w:spacing w:line="260" w:lineRule="auto"/>
              <w:rPr>
                <w:rFonts w:ascii="Arial"/>
                <w:sz w:val="21"/>
              </w:rPr>
            </w:pPr>
          </w:p>
          <w:p w14:paraId="14C5D652">
            <w:pPr>
              <w:spacing w:line="260" w:lineRule="auto"/>
              <w:rPr>
                <w:rFonts w:ascii="Arial"/>
                <w:sz w:val="21"/>
              </w:rPr>
            </w:pPr>
          </w:p>
          <w:p w14:paraId="412AEDBA">
            <w:pPr>
              <w:pStyle w:val="4"/>
              <w:spacing w:before="68" w:line="184" w:lineRule="auto"/>
              <w:ind w:left="154"/>
            </w:pPr>
            <w:r>
              <w:t>1</w:t>
            </w:r>
          </w:p>
        </w:tc>
        <w:tc>
          <w:tcPr>
            <w:tcW w:w="1329" w:type="dxa"/>
            <w:vAlign w:val="top"/>
          </w:tcPr>
          <w:p w14:paraId="3A535CAC">
            <w:pPr>
              <w:spacing w:line="294" w:lineRule="auto"/>
              <w:rPr>
                <w:rFonts w:ascii="Arial"/>
                <w:sz w:val="21"/>
              </w:rPr>
            </w:pPr>
          </w:p>
          <w:p w14:paraId="2AB21A52">
            <w:pPr>
              <w:spacing w:line="294" w:lineRule="auto"/>
              <w:rPr>
                <w:rFonts w:ascii="Arial"/>
                <w:sz w:val="21"/>
              </w:rPr>
            </w:pPr>
          </w:p>
          <w:p w14:paraId="48C0FE39">
            <w:pPr>
              <w:pStyle w:val="4"/>
              <w:spacing w:before="68" w:line="220" w:lineRule="auto"/>
              <w:ind w:left="230"/>
            </w:pPr>
            <w:r>
              <w:rPr>
                <w:spacing w:val="2"/>
              </w:rPr>
              <w:t>新疆大学</w:t>
            </w:r>
          </w:p>
          <w:p w14:paraId="0D83D2B8">
            <w:pPr>
              <w:pStyle w:val="4"/>
              <w:spacing w:before="50" w:line="221" w:lineRule="auto"/>
              <w:ind w:left="340"/>
            </w:pPr>
            <w:r>
              <w:rPr>
                <w:spacing w:val="11"/>
              </w:rPr>
              <w:t>(示例)</w:t>
            </w:r>
          </w:p>
        </w:tc>
        <w:tc>
          <w:tcPr>
            <w:tcW w:w="1879" w:type="dxa"/>
            <w:vAlign w:val="top"/>
          </w:tcPr>
          <w:p w14:paraId="409A2535">
            <w:pPr>
              <w:spacing w:line="438" w:lineRule="auto"/>
              <w:rPr>
                <w:rFonts w:ascii="Arial"/>
                <w:sz w:val="21"/>
              </w:rPr>
            </w:pPr>
          </w:p>
          <w:p w14:paraId="14C7FF35">
            <w:pPr>
              <w:pStyle w:val="4"/>
              <w:spacing w:before="69" w:line="219" w:lineRule="auto"/>
              <w:ind w:left="91"/>
            </w:pPr>
            <w:r>
              <w:rPr>
                <w:spacing w:val="2"/>
              </w:rPr>
              <w:t>千旱区山地草原与</w:t>
            </w:r>
          </w:p>
          <w:p w14:paraId="28D9ED3D">
            <w:pPr>
              <w:pStyle w:val="4"/>
              <w:spacing w:before="70" w:line="219" w:lineRule="auto"/>
              <w:ind w:left="91"/>
            </w:pPr>
            <w:r>
              <w:rPr>
                <w:spacing w:val="1"/>
              </w:rPr>
              <w:t>荒漠草地退化修复</w:t>
            </w:r>
          </w:p>
          <w:p w14:paraId="7BCB2209">
            <w:pPr>
              <w:pStyle w:val="4"/>
              <w:spacing w:before="20" w:line="219" w:lineRule="auto"/>
              <w:ind w:left="722"/>
            </w:pPr>
            <w:r>
              <w:rPr>
                <w:spacing w:val="-3"/>
              </w:rPr>
              <w:t>技术</w:t>
            </w:r>
          </w:p>
        </w:tc>
        <w:tc>
          <w:tcPr>
            <w:tcW w:w="1579" w:type="dxa"/>
            <w:vAlign w:val="top"/>
          </w:tcPr>
          <w:p w14:paraId="25450B83">
            <w:pPr>
              <w:spacing w:line="299" w:lineRule="auto"/>
              <w:rPr>
                <w:rFonts w:ascii="Arial"/>
                <w:sz w:val="21"/>
              </w:rPr>
            </w:pPr>
          </w:p>
          <w:p w14:paraId="0E3D6B78">
            <w:pPr>
              <w:spacing w:line="299" w:lineRule="auto"/>
              <w:rPr>
                <w:rFonts w:ascii="Arial"/>
                <w:sz w:val="21"/>
              </w:rPr>
            </w:pPr>
          </w:p>
          <w:p w14:paraId="1A9EC43C">
            <w:pPr>
              <w:pStyle w:val="4"/>
              <w:spacing w:before="68" w:line="243" w:lineRule="auto"/>
              <w:ind w:left="251" w:right="140" w:hanging="99"/>
            </w:pPr>
            <w:r>
              <w:rPr>
                <w:spacing w:val="2"/>
              </w:rPr>
              <w:t xml:space="preserve">生态环境保护 </w:t>
            </w:r>
            <w:r>
              <w:rPr>
                <w:spacing w:val="5"/>
              </w:rPr>
              <w:t>与资源利用</w:t>
            </w:r>
          </w:p>
        </w:tc>
        <w:tc>
          <w:tcPr>
            <w:tcW w:w="5916" w:type="dxa"/>
            <w:vAlign w:val="top"/>
          </w:tcPr>
          <w:p w14:paraId="183ECE6D">
            <w:pPr>
              <w:pStyle w:val="4"/>
              <w:spacing w:before="36" w:line="258" w:lineRule="auto"/>
              <w:ind w:left="13"/>
              <w:jc w:val="both"/>
            </w:pPr>
            <w:r>
              <w:rPr>
                <w:spacing w:val="-4"/>
              </w:rPr>
              <w:t>该技术通过对不同牧草品种采取条播、施肥和灌浇处理，定</w:t>
            </w:r>
            <w:r>
              <w:rPr>
                <w:spacing w:val="-5"/>
              </w:rPr>
              <w:t>期收</w:t>
            </w:r>
            <w:r>
              <w:t xml:space="preserve">  </w:t>
            </w:r>
            <w:r>
              <w:rPr>
                <w:spacing w:val="-4"/>
              </w:rPr>
              <w:t>割测量生理生态指标，筛选出高产牧草品种并完善种植方法：对</w:t>
            </w:r>
            <w:r>
              <w:t xml:space="preserve">  </w:t>
            </w:r>
            <w:r>
              <w:rPr>
                <w:spacing w:val="-3"/>
              </w:rPr>
              <w:t>不同苜蓿品种与苏丹草间作模式设计，牧草灌溉管理，对不同间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作模式牧草出苗期、分枝期、拔节期和收获期生长指标进行监测，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形成适宜于干旱区山地草原退化和荒漠草地</w:t>
            </w:r>
            <w:r>
              <w:rPr>
                <w:spacing w:val="-4"/>
              </w:rPr>
              <w:t>退化修复的关键技术</w:t>
            </w:r>
            <w:r>
              <w:t xml:space="preserve">  与模式在新疆阿勒泰地区富蕴县建立退化草</w:t>
            </w:r>
            <w:r>
              <w:rPr>
                <w:spacing w:val="-1"/>
              </w:rPr>
              <w:t>地示范基地。</w:t>
            </w:r>
          </w:p>
        </w:tc>
        <w:tc>
          <w:tcPr>
            <w:tcW w:w="2089" w:type="dxa"/>
            <w:vAlign w:val="top"/>
          </w:tcPr>
          <w:p w14:paraId="270AC40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019AFB99">
            <w:pPr>
              <w:spacing w:line="303" w:lineRule="auto"/>
              <w:rPr>
                <w:rFonts w:ascii="Arial"/>
                <w:sz w:val="21"/>
              </w:rPr>
            </w:pPr>
          </w:p>
          <w:p w14:paraId="7F27EA42">
            <w:pPr>
              <w:spacing w:line="304" w:lineRule="auto"/>
              <w:rPr>
                <w:rFonts w:ascii="Arial"/>
                <w:sz w:val="21"/>
              </w:rPr>
            </w:pPr>
          </w:p>
          <w:p w14:paraId="3CC46E6C">
            <w:pPr>
              <w:pStyle w:val="4"/>
              <w:spacing w:before="69" w:line="219" w:lineRule="auto"/>
              <w:ind w:left="358"/>
            </w:pPr>
            <w:r>
              <w:rPr>
                <w:spacing w:val="-3"/>
              </w:rPr>
              <w:t>何学敏</w:t>
            </w:r>
          </w:p>
          <w:p w14:paraId="71956A1F">
            <w:pPr>
              <w:pStyle w:val="4"/>
              <w:spacing w:before="103" w:line="184" w:lineRule="auto"/>
              <w:ind w:left="99"/>
            </w:pPr>
            <w:r>
              <w:rPr>
                <w:spacing w:val="-2"/>
              </w:rPr>
              <w:t>18167837359</w:t>
            </w:r>
          </w:p>
        </w:tc>
      </w:tr>
      <w:tr w14:paraId="7D6E5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434" w:type="dxa"/>
            <w:vAlign w:val="top"/>
          </w:tcPr>
          <w:p w14:paraId="2231A326">
            <w:pPr>
              <w:spacing w:line="270" w:lineRule="auto"/>
              <w:rPr>
                <w:rFonts w:ascii="Arial"/>
                <w:sz w:val="21"/>
              </w:rPr>
            </w:pPr>
          </w:p>
          <w:p w14:paraId="5EF88FE9">
            <w:pPr>
              <w:spacing w:line="270" w:lineRule="auto"/>
              <w:rPr>
                <w:rFonts w:ascii="Arial"/>
                <w:sz w:val="21"/>
              </w:rPr>
            </w:pPr>
          </w:p>
          <w:p w14:paraId="3BFB3E41">
            <w:pPr>
              <w:spacing w:line="270" w:lineRule="auto"/>
              <w:rPr>
                <w:rFonts w:ascii="Arial"/>
                <w:sz w:val="21"/>
              </w:rPr>
            </w:pPr>
          </w:p>
          <w:p w14:paraId="04B03F6D">
            <w:pPr>
              <w:spacing w:line="271" w:lineRule="auto"/>
              <w:rPr>
                <w:rFonts w:ascii="Arial"/>
                <w:sz w:val="21"/>
              </w:rPr>
            </w:pPr>
          </w:p>
          <w:p w14:paraId="72E55CB9">
            <w:pPr>
              <w:pStyle w:val="4"/>
              <w:spacing w:before="69" w:line="183" w:lineRule="auto"/>
              <w:ind w:left="154"/>
            </w:pPr>
            <w:r>
              <w:t>2</w:t>
            </w:r>
          </w:p>
        </w:tc>
        <w:tc>
          <w:tcPr>
            <w:tcW w:w="1329" w:type="dxa"/>
            <w:vAlign w:val="top"/>
          </w:tcPr>
          <w:p w14:paraId="791577F3">
            <w:pPr>
              <w:spacing w:line="293" w:lineRule="auto"/>
              <w:rPr>
                <w:rFonts w:ascii="Arial"/>
                <w:sz w:val="21"/>
              </w:rPr>
            </w:pPr>
          </w:p>
          <w:p w14:paraId="51B4FD32">
            <w:pPr>
              <w:spacing w:line="293" w:lineRule="auto"/>
              <w:rPr>
                <w:rFonts w:ascii="Arial"/>
                <w:sz w:val="21"/>
              </w:rPr>
            </w:pPr>
          </w:p>
          <w:p w14:paraId="32936B49">
            <w:pPr>
              <w:spacing w:line="293" w:lineRule="auto"/>
              <w:rPr>
                <w:rFonts w:ascii="Arial"/>
                <w:sz w:val="21"/>
              </w:rPr>
            </w:pPr>
          </w:p>
          <w:p w14:paraId="5898F10B">
            <w:pPr>
              <w:pStyle w:val="4"/>
              <w:spacing w:before="68" w:line="252" w:lineRule="auto"/>
              <w:ind w:left="340" w:right="146" w:hanging="209"/>
            </w:pPr>
            <w:r>
              <w:rPr>
                <w:spacing w:val="-2"/>
              </w:rPr>
              <w:t>塔星木大学</w:t>
            </w:r>
            <w:r>
              <w:t xml:space="preserve"> </w:t>
            </w:r>
            <w:r>
              <w:rPr>
                <w:spacing w:val="11"/>
              </w:rPr>
              <w:t>(示例)</w:t>
            </w:r>
          </w:p>
        </w:tc>
        <w:tc>
          <w:tcPr>
            <w:tcW w:w="1879" w:type="dxa"/>
            <w:vAlign w:val="top"/>
          </w:tcPr>
          <w:p w14:paraId="5159B6A6">
            <w:pPr>
              <w:spacing w:line="246" w:lineRule="auto"/>
              <w:rPr>
                <w:rFonts w:ascii="Arial"/>
                <w:sz w:val="21"/>
              </w:rPr>
            </w:pPr>
          </w:p>
          <w:p w14:paraId="2BD0FD33">
            <w:pPr>
              <w:spacing w:line="247" w:lineRule="auto"/>
              <w:rPr>
                <w:rFonts w:ascii="Arial"/>
                <w:sz w:val="21"/>
              </w:rPr>
            </w:pPr>
          </w:p>
          <w:p w14:paraId="6F45A58E">
            <w:pPr>
              <w:spacing w:line="247" w:lineRule="auto"/>
              <w:rPr>
                <w:rFonts w:ascii="Arial"/>
                <w:sz w:val="21"/>
              </w:rPr>
            </w:pPr>
          </w:p>
          <w:p w14:paraId="30F84C96">
            <w:pPr>
              <w:pStyle w:val="4"/>
              <w:spacing w:before="68" w:line="219" w:lineRule="auto"/>
              <w:ind w:left="91"/>
            </w:pPr>
            <w:r>
              <w:rPr>
                <w:spacing w:val="2"/>
              </w:rPr>
              <w:t>一种利用乳酸菌制</w:t>
            </w:r>
          </w:p>
          <w:p w14:paraId="624BCF59">
            <w:pPr>
              <w:pStyle w:val="4"/>
              <w:spacing w:before="50" w:line="219" w:lineRule="auto"/>
              <w:ind w:left="91"/>
            </w:pPr>
            <w:r>
              <w:rPr>
                <w:spacing w:val="-2"/>
              </w:rPr>
              <w:t>备——棉副产品发</w:t>
            </w:r>
          </w:p>
          <w:p w14:paraId="37DFE2D8">
            <w:pPr>
              <w:pStyle w:val="4"/>
              <w:spacing w:before="30" w:line="219" w:lineRule="auto"/>
              <w:ind w:left="302"/>
            </w:pPr>
            <w:r>
              <w:rPr>
                <w:spacing w:val="-2"/>
              </w:rPr>
              <w:t>酵饲料的技术</w:t>
            </w:r>
          </w:p>
        </w:tc>
        <w:tc>
          <w:tcPr>
            <w:tcW w:w="1579" w:type="dxa"/>
            <w:vAlign w:val="top"/>
          </w:tcPr>
          <w:p w14:paraId="26DDDE2A">
            <w:pPr>
              <w:spacing w:line="295" w:lineRule="auto"/>
              <w:rPr>
                <w:rFonts w:ascii="Arial"/>
                <w:sz w:val="21"/>
              </w:rPr>
            </w:pPr>
          </w:p>
          <w:p w14:paraId="0E1B05F7">
            <w:pPr>
              <w:spacing w:line="296" w:lineRule="auto"/>
              <w:rPr>
                <w:rFonts w:ascii="Arial"/>
                <w:sz w:val="21"/>
              </w:rPr>
            </w:pPr>
          </w:p>
          <w:p w14:paraId="05D2350B">
            <w:pPr>
              <w:spacing w:line="296" w:lineRule="auto"/>
              <w:rPr>
                <w:rFonts w:ascii="Arial"/>
                <w:sz w:val="21"/>
              </w:rPr>
            </w:pPr>
          </w:p>
          <w:p w14:paraId="1F333F7E">
            <w:pPr>
              <w:pStyle w:val="4"/>
              <w:spacing w:before="68" w:line="260" w:lineRule="auto"/>
              <w:ind w:left="461" w:right="164" w:hanging="309"/>
            </w:pPr>
            <w:r>
              <w:rPr>
                <w:spacing w:val="-2"/>
              </w:rPr>
              <w:t>农业科技与现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代农业</w:t>
            </w:r>
          </w:p>
        </w:tc>
        <w:tc>
          <w:tcPr>
            <w:tcW w:w="5916" w:type="dxa"/>
            <w:vAlign w:val="top"/>
          </w:tcPr>
          <w:p w14:paraId="1F6E4055">
            <w:pPr>
              <w:pStyle w:val="4"/>
              <w:spacing w:before="51" w:line="262" w:lineRule="auto"/>
              <w:ind w:left="13" w:firstLine="49"/>
            </w:pPr>
            <w:r>
              <w:rPr>
                <w:spacing w:val="-2"/>
              </w:rPr>
              <w:t>以棉花秸秆和棉籽壳为主要祖饲料，与玉米粉等精料混合均匀，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利用自主分离鉴定的乳酸菌和酶制剂来对其进行发酵处理，饲喂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育肥羊，通过生产性能指标确定日粮中棉副产品发酵饲料最优的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添加比例，使南疆地区棉副产品的利用率有效提高。育肥羔羊在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果食棉副产品发酵饲料后的屠宰率和肌内脂肪含量分别提高了6.9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2%和17.11%,蒸煮损失和剪切力分别降低了7.87%和7.81%:在</w:t>
            </w:r>
          </w:p>
          <w:p w14:paraId="4FA97179">
            <w:pPr>
              <w:pStyle w:val="4"/>
              <w:spacing w:before="3" w:line="239" w:lineRule="auto"/>
              <w:ind w:left="62" w:hanging="49"/>
            </w:pPr>
            <w:r>
              <w:t>60天的试验期内，饲喂棉副产品发酵饲料每只羊60天可以多获利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45.36元。</w:t>
            </w:r>
          </w:p>
        </w:tc>
        <w:tc>
          <w:tcPr>
            <w:tcW w:w="2089" w:type="dxa"/>
            <w:vAlign w:val="top"/>
          </w:tcPr>
          <w:p w14:paraId="147CBD7B">
            <w:pPr>
              <w:spacing w:line="295" w:lineRule="auto"/>
              <w:rPr>
                <w:rFonts w:ascii="Arial"/>
                <w:sz w:val="21"/>
              </w:rPr>
            </w:pPr>
          </w:p>
          <w:p w14:paraId="0080B50B">
            <w:pPr>
              <w:spacing w:line="295" w:lineRule="auto"/>
              <w:rPr>
                <w:rFonts w:ascii="Arial"/>
                <w:sz w:val="21"/>
              </w:rPr>
            </w:pPr>
          </w:p>
          <w:p w14:paraId="628B5E43">
            <w:pPr>
              <w:pStyle w:val="4"/>
              <w:spacing w:before="69" w:line="219" w:lineRule="auto"/>
              <w:ind w:left="97"/>
            </w:pPr>
            <w:r>
              <w:rPr>
                <w:spacing w:val="1"/>
              </w:rPr>
              <w:t>一种乳酸菌组合物的</w:t>
            </w:r>
          </w:p>
          <w:p w14:paraId="30FDA93B">
            <w:pPr>
              <w:pStyle w:val="4"/>
              <w:spacing w:before="51" w:line="220" w:lineRule="auto"/>
              <w:ind w:left="197"/>
            </w:pPr>
            <w:r>
              <w:rPr>
                <w:spacing w:val="3"/>
              </w:rPr>
              <w:t>分离方法及其应用</w:t>
            </w:r>
          </w:p>
          <w:p w14:paraId="56B8A7A1">
            <w:pPr>
              <w:pStyle w:val="4"/>
              <w:spacing w:before="39" w:line="219" w:lineRule="auto"/>
              <w:ind w:left="307"/>
            </w:pPr>
            <w:r>
              <w:rPr>
                <w:spacing w:val="5"/>
              </w:rPr>
              <w:t>(国家发明专利)</w:t>
            </w:r>
          </w:p>
          <w:p w14:paraId="7E2AB965">
            <w:pPr>
              <w:pStyle w:val="4"/>
              <w:spacing w:before="123" w:line="184" w:lineRule="auto"/>
              <w:ind w:left="147"/>
            </w:pPr>
            <w:r>
              <w:rPr>
                <w:spacing w:val="-1"/>
              </w:rPr>
              <w:t>ZL201710347980.6.</w:t>
            </w:r>
          </w:p>
        </w:tc>
        <w:tc>
          <w:tcPr>
            <w:tcW w:w="1364" w:type="dxa"/>
            <w:vAlign w:val="top"/>
          </w:tcPr>
          <w:p w14:paraId="2FA30362">
            <w:pPr>
              <w:spacing w:line="296" w:lineRule="auto"/>
              <w:rPr>
                <w:rFonts w:ascii="Arial"/>
                <w:sz w:val="21"/>
              </w:rPr>
            </w:pPr>
          </w:p>
          <w:p w14:paraId="561DD46A">
            <w:pPr>
              <w:spacing w:line="296" w:lineRule="auto"/>
              <w:rPr>
                <w:rFonts w:ascii="Arial"/>
                <w:sz w:val="21"/>
              </w:rPr>
            </w:pPr>
          </w:p>
          <w:p w14:paraId="0467AECB">
            <w:pPr>
              <w:spacing w:line="297" w:lineRule="auto"/>
              <w:rPr>
                <w:rFonts w:ascii="Arial"/>
                <w:sz w:val="21"/>
              </w:rPr>
            </w:pPr>
          </w:p>
          <w:p w14:paraId="0CA086F3">
            <w:pPr>
              <w:pStyle w:val="4"/>
              <w:spacing w:before="68" w:line="219" w:lineRule="auto"/>
              <w:ind w:left="358"/>
            </w:pPr>
            <w:r>
              <w:rPr>
                <w:spacing w:val="3"/>
              </w:rPr>
              <w:t>郭雪峰</w:t>
            </w:r>
          </w:p>
          <w:p w14:paraId="68AD016B">
            <w:pPr>
              <w:pStyle w:val="4"/>
              <w:spacing w:before="123" w:line="184" w:lineRule="auto"/>
              <w:ind w:left="99"/>
            </w:pPr>
            <w:r>
              <w:rPr>
                <w:spacing w:val="-2"/>
              </w:rPr>
              <w:t>15299571979</w:t>
            </w:r>
          </w:p>
        </w:tc>
      </w:tr>
      <w:tr w14:paraId="3C57E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  <w:jc w:val="center"/>
        </w:trPr>
        <w:tc>
          <w:tcPr>
            <w:tcW w:w="434" w:type="dxa"/>
            <w:vAlign w:val="top"/>
          </w:tcPr>
          <w:p w14:paraId="7B6EC24C">
            <w:pPr>
              <w:pStyle w:val="4"/>
              <w:spacing w:before="250" w:line="183" w:lineRule="auto"/>
              <w:ind w:left="154"/>
            </w:pPr>
            <w:r>
              <w:t>3</w:t>
            </w:r>
          </w:p>
        </w:tc>
        <w:tc>
          <w:tcPr>
            <w:tcW w:w="1329" w:type="dxa"/>
            <w:vAlign w:val="top"/>
          </w:tcPr>
          <w:p w14:paraId="56B230C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E089A2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5EF931A6">
            <w:pPr>
              <w:rPr>
                <w:rFonts w:ascii="Arial"/>
                <w:sz w:val="21"/>
              </w:rPr>
            </w:pPr>
          </w:p>
        </w:tc>
        <w:tc>
          <w:tcPr>
            <w:tcW w:w="5916" w:type="dxa"/>
            <w:vAlign w:val="top"/>
          </w:tcPr>
          <w:p w14:paraId="5417D1AF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4CF8FA2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6F6A2453">
            <w:pPr>
              <w:rPr>
                <w:rFonts w:ascii="Arial"/>
                <w:sz w:val="21"/>
              </w:rPr>
            </w:pPr>
          </w:p>
        </w:tc>
      </w:tr>
      <w:tr w14:paraId="35ADC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  <w:jc w:val="center"/>
        </w:trPr>
        <w:tc>
          <w:tcPr>
            <w:tcW w:w="434" w:type="dxa"/>
            <w:vAlign w:val="top"/>
          </w:tcPr>
          <w:p w14:paraId="1096728D">
            <w:pPr>
              <w:pStyle w:val="4"/>
              <w:spacing w:before="281" w:line="183" w:lineRule="auto"/>
              <w:ind w:left="154"/>
            </w:pPr>
            <w:r>
              <w:t>4</w:t>
            </w:r>
          </w:p>
        </w:tc>
        <w:tc>
          <w:tcPr>
            <w:tcW w:w="1329" w:type="dxa"/>
            <w:vAlign w:val="top"/>
          </w:tcPr>
          <w:p w14:paraId="594181F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5EF29AB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5BBBB918">
            <w:pPr>
              <w:rPr>
                <w:rFonts w:ascii="Arial"/>
                <w:sz w:val="21"/>
              </w:rPr>
            </w:pPr>
          </w:p>
        </w:tc>
        <w:tc>
          <w:tcPr>
            <w:tcW w:w="5916" w:type="dxa"/>
            <w:vAlign w:val="top"/>
          </w:tcPr>
          <w:p w14:paraId="7F2E75D2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61E095D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59B9CFF">
            <w:pPr>
              <w:rPr>
                <w:rFonts w:ascii="Arial"/>
                <w:sz w:val="21"/>
              </w:rPr>
            </w:pPr>
          </w:p>
        </w:tc>
      </w:tr>
    </w:tbl>
    <w:p w14:paraId="6B9185B2">
      <w:pPr>
        <w:spacing w:before="146" w:line="219" w:lineRule="auto"/>
        <w:ind w:left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注：应面向南疆自治区九大产业集群、兵团七大主导产业和21条重点产业链。</w:t>
      </w:r>
    </w:p>
    <w:p w14:paraId="2681F1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6019"/>
    <w:rsid w:val="0F6C14BD"/>
    <w:rsid w:val="54837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663</Characters>
  <Lines>0</Lines>
  <Paragraphs>0</Paragraphs>
  <TotalTime>0</TotalTime>
  <ScaleCrop>false</ScaleCrop>
  <LinksUpToDate>false</LinksUpToDate>
  <CharactersWithSpaces>684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旷野</cp:lastModifiedBy>
  <dcterms:modified xsi:type="dcterms:W3CDTF">2024-10-29T03:22:15Z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651032EE66BD4897838DE8A1903240D5_12</vt:lpwstr>
  </property>
</Properties>
</file>