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F5E4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420" w:firstLineChars="200"/>
        <w:jc w:val="both"/>
        <w:textAlignment w:val="auto"/>
        <w:rPr>
          <w:rFonts w:hint="default" w:ascii="黑体" w:hAnsi="黑体" w:eastAsia="黑体" w:cs="黑体"/>
          <w:color w:val="4874CB" w:themeColor="accent1"/>
          <w:kern w:val="2"/>
          <w:sz w:val="21"/>
          <w:szCs w:val="21"/>
          <w:highlight w:val="none"/>
          <w:lang w:val="en-US" w:eastAsia="zh-CN" w:bidi="zh-CN"/>
          <w14:textFill>
            <w14:solidFill>
              <w14:schemeClr w14:val="accent1"/>
            </w14:solidFill>
          </w14:textFill>
        </w:rPr>
      </w:pPr>
      <w:r>
        <w:rPr>
          <w:rFonts w:hint="eastAsia" w:ascii="黑体" w:hAnsi="黑体" w:eastAsia="黑体" w:cs="黑体"/>
          <w:color w:val="4874CB" w:themeColor="accent1"/>
          <w:kern w:val="2"/>
          <w:sz w:val="21"/>
          <w:szCs w:val="21"/>
          <w:highlight w:val="none"/>
          <w:lang w:val="en-US" w:eastAsia="zh-CN" w:bidi="zh-CN"/>
          <w14:textFill>
            <w14:solidFill>
              <w14:schemeClr w14:val="accent1"/>
            </w14:solidFill>
          </w14:textFill>
        </w:rPr>
        <w:t>请在正式提交前，删除蓝色说明文字</w:t>
      </w:r>
    </w:p>
    <w:p w14:paraId="77234B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78E308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2025版本科人才培养方案修订情况</w:t>
      </w:r>
    </w:p>
    <w:p w14:paraId="6893AC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自查自评报告</w:t>
      </w:r>
    </w:p>
    <w:p w14:paraId="7DABF2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35CAA7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专业名称：</w:t>
      </w:r>
    </w:p>
    <w:p w14:paraId="6FC6FF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专业负责人（签名）：</w:t>
      </w:r>
    </w:p>
    <w:p w14:paraId="78C324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560" w:firstLineChars="200"/>
        <w:jc w:val="both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所在学院（盖章）：</w:t>
      </w:r>
    </w:p>
    <w:p w14:paraId="1F0823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7D67E0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根据学校《关于修订本科人才培养方案的指导意见》，2025版培养方案从学分改革、课程改革与组织管理三个维度进行修订，体现了“目标导向、交叉融通、能力提升、个性培养、自主学习、持续改进”本科人才培养理念与实践。现将本专业落实学校新理念、新要求的相关情况总结如下：</w:t>
      </w:r>
    </w:p>
    <w:p w14:paraId="1B9F588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0" w:firstLineChars="200"/>
        <w:jc w:val="both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专业培养目标定位</w:t>
      </w:r>
    </w:p>
    <w:p w14:paraId="0409DE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42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4874CB" w:themeColor="accent1"/>
          <w:kern w:val="2"/>
          <w:sz w:val="21"/>
          <w:szCs w:val="21"/>
          <w:highlight w:val="none"/>
          <w:lang w:val="en-US" w:eastAsia="zh-CN" w:bidi="zh-CN"/>
          <w14:textFill>
            <w14:solidFill>
              <w14:schemeClr w14:val="accent1"/>
            </w14:solidFill>
          </w14:textFill>
        </w:rPr>
        <w:t>（简述专业培养目标定位，如：培养植物保护拔尖创新人才；是否符合学校人才培养目标定位？是否严格按照专业认证相关要求分解毕业要求指标点？无专业认证标准的，要说明参照的标准。）</w:t>
      </w:r>
    </w:p>
    <w:p w14:paraId="2A31C9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723681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6DE606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5A13899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0" w:firstLineChars="200"/>
        <w:jc w:val="both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毕业额定学分</w:t>
      </w:r>
    </w:p>
    <w:p w14:paraId="37D16F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420" w:firstLineChars="200"/>
        <w:jc w:val="both"/>
        <w:textAlignment w:val="auto"/>
        <w:rPr>
          <w:rFonts w:hint="default" w:ascii="黑体" w:hAnsi="黑体" w:eastAsia="黑体" w:cs="黑体"/>
          <w:color w:val="4874CB" w:themeColor="accent1"/>
          <w:kern w:val="2"/>
          <w:sz w:val="21"/>
          <w:szCs w:val="21"/>
          <w:highlight w:val="none"/>
          <w:lang w:val="en-US" w:eastAsia="zh-CN" w:bidi="zh-CN"/>
          <w14:textFill>
            <w14:solidFill>
              <w14:schemeClr w14:val="accent1"/>
            </w14:solidFill>
          </w14:textFill>
        </w:rPr>
      </w:pPr>
      <w:r>
        <w:rPr>
          <w:rFonts w:hint="eastAsia" w:ascii="黑体" w:hAnsi="黑体" w:eastAsia="黑体" w:cs="黑体"/>
          <w:color w:val="4874CB" w:themeColor="accent1"/>
          <w:kern w:val="2"/>
          <w:sz w:val="21"/>
          <w:szCs w:val="21"/>
          <w:highlight w:val="none"/>
          <w:lang w:val="en-US" w:eastAsia="zh-CN" w:bidi="zh-CN"/>
          <w14:textFill>
            <w14:solidFill>
              <w14:schemeClr w14:val="accent1"/>
            </w14:solidFill>
          </w14:textFill>
        </w:rPr>
        <w:t>（原则上，专业毕业额定学分不得超过学校要求的学分上限，如有突破，请说明理由并附学院教授委员会论证意见。）</w:t>
      </w:r>
    </w:p>
    <w:p w14:paraId="477BB8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560" w:firstLineChars="200"/>
        <w:jc w:val="both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学校要求：不超过**学分</w:t>
      </w:r>
    </w:p>
    <w:p w14:paraId="65E24B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本专业：**学分</w:t>
      </w:r>
    </w:p>
    <w:p w14:paraId="6EB60E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13616A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11B9631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0" w:firstLineChars="200"/>
        <w:jc w:val="both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课程改革</w:t>
      </w:r>
    </w:p>
    <w:p w14:paraId="7781FF15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0" w:firstLineChars="200"/>
        <w:jc w:val="both"/>
        <w:textAlignment w:val="auto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课程体系</w:t>
      </w:r>
    </w:p>
    <w:p w14:paraId="7BE76959">
      <w:pPr>
        <w:spacing w:line="400" w:lineRule="exact"/>
        <w:jc w:val="center"/>
        <w:rPr>
          <w:rFonts w:hint="eastAsia" w:ascii="黑体" w:hAnsi="黑体" w:eastAsia="黑体" w:cs="黑体"/>
          <w:szCs w:val="21"/>
          <w:lang w:val="en-US" w:eastAsia="zh-CN"/>
        </w:rPr>
      </w:pPr>
      <w:r>
        <w:rPr>
          <w:rFonts w:hint="eastAsia" w:ascii="黑体" w:hAnsi="黑体" w:eastAsia="黑体" w:cs="黑体"/>
          <w:szCs w:val="21"/>
          <w:lang w:val="en-US" w:eastAsia="zh-CN"/>
        </w:rPr>
        <w:t>**专业</w:t>
      </w:r>
      <w:r>
        <w:rPr>
          <w:rFonts w:hint="eastAsia" w:ascii="黑体" w:hAnsi="黑体" w:eastAsia="黑体" w:cs="黑体"/>
          <w:szCs w:val="21"/>
        </w:rPr>
        <w:t>课程体系及学分</w:t>
      </w:r>
      <w:r>
        <w:rPr>
          <w:rFonts w:hint="eastAsia" w:ascii="黑体" w:hAnsi="黑体" w:eastAsia="黑体" w:cs="黑体"/>
          <w:szCs w:val="21"/>
          <w:lang w:val="en-US" w:eastAsia="zh-CN"/>
        </w:rPr>
        <w:t>设置</w:t>
      </w:r>
    </w:p>
    <w:tbl>
      <w:tblPr>
        <w:tblStyle w:val="2"/>
        <w:tblW w:w="84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505"/>
        <w:gridCol w:w="3500"/>
        <w:gridCol w:w="1300"/>
        <w:gridCol w:w="1079"/>
      </w:tblGrid>
      <w:tr w14:paraId="7CAA37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1" w:hRule="atLeast"/>
          <w:jc w:val="center"/>
        </w:trPr>
        <w:tc>
          <w:tcPr>
            <w:tcW w:w="6120" w:type="dxa"/>
            <w:gridSpan w:val="3"/>
            <w:shd w:val="clear" w:color="auto" w:fill="auto"/>
            <w:vAlign w:val="center"/>
          </w:tcPr>
          <w:p w14:paraId="77C16427">
            <w:pPr>
              <w:widowControl/>
              <w:jc w:val="center"/>
              <w:textAlignment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  <w:lang w:bidi="ar"/>
              </w:rPr>
              <w:t>课程类别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512C30DE">
            <w:pPr>
              <w:widowControl/>
              <w:jc w:val="center"/>
              <w:textAlignment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  <w:lang w:bidi="ar"/>
              </w:rPr>
              <w:t>课程性质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275B8280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学分</w:t>
            </w:r>
          </w:p>
        </w:tc>
      </w:tr>
      <w:tr w14:paraId="35C034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115" w:type="dxa"/>
            <w:vMerge w:val="restart"/>
            <w:shd w:val="clear" w:color="auto" w:fill="auto"/>
            <w:vAlign w:val="center"/>
          </w:tcPr>
          <w:p w14:paraId="292A8784"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通识教育</w:t>
            </w:r>
          </w:p>
        </w:tc>
        <w:tc>
          <w:tcPr>
            <w:tcW w:w="1505" w:type="dxa"/>
            <w:vMerge w:val="restart"/>
            <w:shd w:val="clear" w:color="auto" w:fill="auto"/>
            <w:vAlign w:val="center"/>
          </w:tcPr>
          <w:p w14:paraId="5F9D8BAC"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公共基础课</w:t>
            </w:r>
          </w:p>
        </w:tc>
        <w:tc>
          <w:tcPr>
            <w:tcW w:w="3500" w:type="dxa"/>
            <w:shd w:val="clear" w:color="auto" w:fill="auto"/>
            <w:vAlign w:val="center"/>
          </w:tcPr>
          <w:p w14:paraId="3A043295">
            <w:pPr>
              <w:widowControl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思想政治理论课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4E154396"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必修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20CEB9F2"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</w:p>
        </w:tc>
      </w:tr>
      <w:tr w14:paraId="46342E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115" w:type="dxa"/>
            <w:vMerge w:val="continue"/>
            <w:shd w:val="clear" w:color="auto" w:fill="auto"/>
            <w:vAlign w:val="center"/>
          </w:tcPr>
          <w:p w14:paraId="29A47C4B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505" w:type="dxa"/>
            <w:vMerge w:val="continue"/>
            <w:shd w:val="clear" w:color="auto" w:fill="auto"/>
            <w:vAlign w:val="center"/>
          </w:tcPr>
          <w:p w14:paraId="264113CD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3500" w:type="dxa"/>
            <w:shd w:val="clear" w:color="auto" w:fill="auto"/>
            <w:vAlign w:val="center"/>
          </w:tcPr>
          <w:p w14:paraId="29A16F0C">
            <w:pPr>
              <w:widowControl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外语课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312DF574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必修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 w:bidi="ar"/>
              </w:rPr>
              <w:t>+选修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4B2E31AA"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</w:p>
        </w:tc>
      </w:tr>
      <w:tr w14:paraId="37401B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115" w:type="dxa"/>
            <w:vMerge w:val="continue"/>
            <w:shd w:val="clear" w:color="auto" w:fill="auto"/>
            <w:vAlign w:val="center"/>
          </w:tcPr>
          <w:p w14:paraId="5AE44775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505" w:type="dxa"/>
            <w:vMerge w:val="continue"/>
            <w:shd w:val="clear" w:color="auto" w:fill="auto"/>
            <w:vAlign w:val="center"/>
          </w:tcPr>
          <w:p w14:paraId="029635E4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3500" w:type="dxa"/>
            <w:shd w:val="clear" w:color="auto" w:fill="auto"/>
            <w:vAlign w:val="center"/>
          </w:tcPr>
          <w:p w14:paraId="579E0BE5">
            <w:pPr>
              <w:widowControl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计算机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653B4681"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必修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2E0CAC70"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</w:p>
        </w:tc>
      </w:tr>
      <w:tr w14:paraId="46306E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115" w:type="dxa"/>
            <w:vMerge w:val="continue"/>
            <w:shd w:val="clear" w:color="auto" w:fill="auto"/>
            <w:vAlign w:val="center"/>
          </w:tcPr>
          <w:p w14:paraId="317B573E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505" w:type="dxa"/>
            <w:vMerge w:val="continue"/>
            <w:shd w:val="clear" w:color="auto" w:fill="auto"/>
            <w:vAlign w:val="center"/>
          </w:tcPr>
          <w:p w14:paraId="63CEB5B2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3500" w:type="dxa"/>
            <w:shd w:val="clear" w:color="auto" w:fill="auto"/>
            <w:vAlign w:val="center"/>
          </w:tcPr>
          <w:p w14:paraId="0C1D5525">
            <w:pPr>
              <w:widowControl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数理化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5C5819FF"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必修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3AEA3643"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</w:p>
        </w:tc>
      </w:tr>
      <w:tr w14:paraId="656D35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115" w:type="dxa"/>
            <w:vMerge w:val="continue"/>
            <w:shd w:val="clear" w:color="auto" w:fill="auto"/>
            <w:vAlign w:val="center"/>
          </w:tcPr>
          <w:p w14:paraId="4AF9B32C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505" w:type="dxa"/>
            <w:vMerge w:val="continue"/>
            <w:shd w:val="clear" w:color="auto" w:fill="auto"/>
            <w:vAlign w:val="center"/>
          </w:tcPr>
          <w:p w14:paraId="685B7467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3500" w:type="dxa"/>
            <w:shd w:val="clear" w:color="auto" w:fill="auto"/>
            <w:vAlign w:val="center"/>
          </w:tcPr>
          <w:p w14:paraId="178D6FF5">
            <w:pPr>
              <w:widowControl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军体类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280CC9FF"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必修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0DADF3C3"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</w:p>
        </w:tc>
      </w:tr>
      <w:tr w14:paraId="074A9F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115" w:type="dxa"/>
            <w:vMerge w:val="continue"/>
            <w:shd w:val="clear" w:color="auto" w:fill="auto"/>
            <w:vAlign w:val="center"/>
          </w:tcPr>
          <w:p w14:paraId="299E58DE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505" w:type="dxa"/>
            <w:vMerge w:val="continue"/>
            <w:shd w:val="clear" w:color="auto" w:fill="auto"/>
            <w:vAlign w:val="center"/>
          </w:tcPr>
          <w:p w14:paraId="3AC3FBBD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3500" w:type="dxa"/>
            <w:shd w:val="clear" w:color="auto" w:fill="auto"/>
            <w:vAlign w:val="center"/>
          </w:tcPr>
          <w:p w14:paraId="0B9D5941">
            <w:pPr>
              <w:widowControl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心理、生涯与安全类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2E75D30E"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必修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792E7BA7"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</w:p>
        </w:tc>
      </w:tr>
      <w:tr w14:paraId="031410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115" w:type="dxa"/>
            <w:vMerge w:val="continue"/>
            <w:shd w:val="clear" w:color="auto" w:fill="auto"/>
            <w:vAlign w:val="center"/>
          </w:tcPr>
          <w:p w14:paraId="54C34547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5005" w:type="dxa"/>
            <w:gridSpan w:val="2"/>
            <w:shd w:val="clear" w:color="auto" w:fill="auto"/>
            <w:vAlign w:val="center"/>
          </w:tcPr>
          <w:p w14:paraId="6245930D">
            <w:pPr>
              <w:widowControl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通识类选修课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222746E5"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选修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57D78B9E"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</w:p>
        </w:tc>
      </w:tr>
      <w:tr w14:paraId="7C4E1A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115" w:type="dxa"/>
            <w:vMerge w:val="restart"/>
            <w:shd w:val="clear" w:color="auto" w:fill="auto"/>
            <w:vAlign w:val="center"/>
          </w:tcPr>
          <w:p w14:paraId="33D291BA"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专业教育</w:t>
            </w:r>
          </w:p>
        </w:tc>
        <w:tc>
          <w:tcPr>
            <w:tcW w:w="5005" w:type="dxa"/>
            <w:gridSpan w:val="2"/>
            <w:shd w:val="clear" w:color="auto" w:fill="auto"/>
            <w:vAlign w:val="center"/>
          </w:tcPr>
          <w:p w14:paraId="302D6477">
            <w:pPr>
              <w:widowControl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学科专业基础课</w:t>
            </w:r>
          </w:p>
        </w:tc>
        <w:tc>
          <w:tcPr>
            <w:tcW w:w="1300" w:type="dxa"/>
            <w:vMerge w:val="restart"/>
            <w:shd w:val="clear" w:color="auto" w:fill="auto"/>
            <w:vAlign w:val="center"/>
          </w:tcPr>
          <w:p w14:paraId="5873F62E"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必修</w:t>
            </w:r>
          </w:p>
        </w:tc>
        <w:tc>
          <w:tcPr>
            <w:tcW w:w="1079" w:type="dxa"/>
            <w:vMerge w:val="restart"/>
            <w:shd w:val="clear" w:color="auto" w:fill="auto"/>
            <w:vAlign w:val="center"/>
          </w:tcPr>
          <w:p w14:paraId="73B83174"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</w:p>
        </w:tc>
      </w:tr>
      <w:tr w14:paraId="6ECBF4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115" w:type="dxa"/>
            <w:vMerge w:val="continue"/>
            <w:shd w:val="clear" w:color="auto" w:fill="auto"/>
            <w:vAlign w:val="center"/>
          </w:tcPr>
          <w:p w14:paraId="5B677826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5005" w:type="dxa"/>
            <w:gridSpan w:val="2"/>
            <w:shd w:val="clear" w:color="auto" w:fill="auto"/>
            <w:vAlign w:val="center"/>
          </w:tcPr>
          <w:p w14:paraId="2B793AE0">
            <w:pPr>
              <w:widowControl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专业核心课</w:t>
            </w:r>
          </w:p>
        </w:tc>
        <w:tc>
          <w:tcPr>
            <w:tcW w:w="1300" w:type="dxa"/>
            <w:vMerge w:val="continue"/>
            <w:shd w:val="clear" w:color="auto" w:fill="auto"/>
            <w:vAlign w:val="center"/>
          </w:tcPr>
          <w:p w14:paraId="64D45A85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079" w:type="dxa"/>
            <w:vMerge w:val="continue"/>
            <w:shd w:val="clear" w:color="auto" w:fill="auto"/>
            <w:vAlign w:val="center"/>
          </w:tcPr>
          <w:p w14:paraId="41A19488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 w14:paraId="5E74FC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115" w:type="dxa"/>
            <w:vMerge w:val="continue"/>
            <w:shd w:val="clear" w:color="auto" w:fill="auto"/>
            <w:vAlign w:val="center"/>
          </w:tcPr>
          <w:p w14:paraId="217697CC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5005" w:type="dxa"/>
            <w:gridSpan w:val="2"/>
            <w:shd w:val="clear" w:color="auto" w:fill="auto"/>
            <w:vAlign w:val="center"/>
          </w:tcPr>
          <w:p w14:paraId="5DAA25D4">
            <w:pPr>
              <w:widowControl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专业选修课</w:t>
            </w:r>
          </w:p>
        </w:tc>
        <w:tc>
          <w:tcPr>
            <w:tcW w:w="1300" w:type="dxa"/>
            <w:vMerge w:val="restart"/>
            <w:shd w:val="clear" w:color="auto" w:fill="auto"/>
            <w:vAlign w:val="center"/>
          </w:tcPr>
          <w:p w14:paraId="637A231C"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选修</w:t>
            </w:r>
          </w:p>
        </w:tc>
        <w:tc>
          <w:tcPr>
            <w:tcW w:w="1079" w:type="dxa"/>
            <w:vMerge w:val="restart"/>
            <w:shd w:val="clear" w:color="auto" w:fill="auto"/>
            <w:vAlign w:val="center"/>
          </w:tcPr>
          <w:p w14:paraId="5FA1D4FE"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</w:p>
        </w:tc>
      </w:tr>
      <w:tr w14:paraId="0914A8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115" w:type="dxa"/>
            <w:vMerge w:val="continue"/>
            <w:shd w:val="clear" w:color="auto" w:fill="auto"/>
            <w:vAlign w:val="center"/>
          </w:tcPr>
          <w:p w14:paraId="491026FD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5005" w:type="dxa"/>
            <w:gridSpan w:val="2"/>
            <w:shd w:val="clear" w:color="auto" w:fill="auto"/>
            <w:vAlign w:val="center"/>
          </w:tcPr>
          <w:p w14:paraId="0BB49354">
            <w:pPr>
              <w:widowControl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跨学科专业选修课</w:t>
            </w:r>
          </w:p>
        </w:tc>
        <w:tc>
          <w:tcPr>
            <w:tcW w:w="1300" w:type="dxa"/>
            <w:vMerge w:val="continue"/>
            <w:shd w:val="clear" w:color="auto" w:fill="auto"/>
            <w:vAlign w:val="center"/>
          </w:tcPr>
          <w:p w14:paraId="2984A1B5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079" w:type="dxa"/>
            <w:vMerge w:val="continue"/>
            <w:shd w:val="clear" w:color="auto" w:fill="auto"/>
            <w:vAlign w:val="center"/>
          </w:tcPr>
          <w:p w14:paraId="603C6C53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 w14:paraId="7F39B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115" w:type="dxa"/>
            <w:vMerge w:val="continue"/>
            <w:shd w:val="clear" w:color="auto" w:fill="auto"/>
            <w:vAlign w:val="center"/>
          </w:tcPr>
          <w:p w14:paraId="78953732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5005" w:type="dxa"/>
            <w:gridSpan w:val="2"/>
            <w:shd w:val="clear" w:color="auto" w:fill="auto"/>
            <w:vAlign w:val="center"/>
          </w:tcPr>
          <w:p w14:paraId="0F7360CB">
            <w:pPr>
              <w:widowControl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本研贯通课</w:t>
            </w:r>
          </w:p>
        </w:tc>
        <w:tc>
          <w:tcPr>
            <w:tcW w:w="1300" w:type="dxa"/>
            <w:vMerge w:val="continue"/>
            <w:shd w:val="clear" w:color="auto" w:fill="auto"/>
            <w:vAlign w:val="center"/>
          </w:tcPr>
          <w:p w14:paraId="58550750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079" w:type="dxa"/>
            <w:vMerge w:val="continue"/>
            <w:shd w:val="clear" w:color="auto" w:fill="auto"/>
            <w:vAlign w:val="center"/>
          </w:tcPr>
          <w:p w14:paraId="51067169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 w14:paraId="3BC8A7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115" w:type="dxa"/>
            <w:vMerge w:val="restart"/>
            <w:shd w:val="clear" w:color="auto" w:fill="auto"/>
            <w:vAlign w:val="center"/>
          </w:tcPr>
          <w:p w14:paraId="6367959C"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综合实践</w:t>
            </w:r>
          </w:p>
        </w:tc>
        <w:tc>
          <w:tcPr>
            <w:tcW w:w="5005" w:type="dxa"/>
            <w:gridSpan w:val="2"/>
            <w:shd w:val="clear" w:color="auto" w:fill="auto"/>
            <w:vAlign w:val="center"/>
          </w:tcPr>
          <w:p w14:paraId="17E37716">
            <w:pPr>
              <w:widowControl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军事技能训练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0C5C52AC"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必修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4CDC557E"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</w:p>
        </w:tc>
      </w:tr>
      <w:tr w14:paraId="7C560F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115" w:type="dxa"/>
            <w:vMerge w:val="continue"/>
            <w:shd w:val="clear" w:color="auto" w:fill="auto"/>
            <w:vAlign w:val="center"/>
          </w:tcPr>
          <w:p w14:paraId="1BD95171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5005" w:type="dxa"/>
            <w:gridSpan w:val="2"/>
            <w:shd w:val="clear" w:color="auto" w:fill="auto"/>
            <w:vAlign w:val="center"/>
          </w:tcPr>
          <w:p w14:paraId="7B160ED9">
            <w:pPr>
              <w:widowControl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思想政治理论课实践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1844A0E2"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必修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1BDCAFEE"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</w:p>
        </w:tc>
      </w:tr>
      <w:tr w14:paraId="56106C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115" w:type="dxa"/>
            <w:vMerge w:val="continue"/>
            <w:shd w:val="clear" w:color="auto" w:fill="auto"/>
            <w:vAlign w:val="center"/>
          </w:tcPr>
          <w:p w14:paraId="0C95247C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5005" w:type="dxa"/>
            <w:gridSpan w:val="2"/>
            <w:shd w:val="clear" w:color="auto" w:fill="auto"/>
            <w:vAlign w:val="center"/>
          </w:tcPr>
          <w:p w14:paraId="50A56F1B">
            <w:pPr>
              <w:widowControl/>
              <w:jc w:val="left"/>
              <w:textAlignment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工程训练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75A43247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必修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3729B4F8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</w:p>
        </w:tc>
      </w:tr>
      <w:tr w14:paraId="731BA5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115" w:type="dxa"/>
            <w:vMerge w:val="continue"/>
            <w:shd w:val="clear" w:color="auto" w:fill="auto"/>
            <w:vAlign w:val="center"/>
          </w:tcPr>
          <w:p w14:paraId="4F22457A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5005" w:type="dxa"/>
            <w:gridSpan w:val="2"/>
            <w:shd w:val="clear" w:color="auto" w:fill="auto"/>
            <w:vAlign w:val="center"/>
          </w:tcPr>
          <w:p w14:paraId="70D03FBF">
            <w:pPr>
              <w:widowControl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专业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 w:bidi="ar"/>
              </w:rPr>
              <w:t>教学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（就业）实习、综合实习、科研训练等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002A67D8"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必修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75DE7AD8"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</w:p>
        </w:tc>
      </w:tr>
      <w:tr w14:paraId="3B74AE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115" w:type="dxa"/>
            <w:vMerge w:val="continue"/>
            <w:shd w:val="clear" w:color="auto" w:fill="auto"/>
            <w:vAlign w:val="center"/>
          </w:tcPr>
          <w:p w14:paraId="069DCA55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5005" w:type="dxa"/>
            <w:gridSpan w:val="2"/>
            <w:shd w:val="clear" w:color="auto" w:fill="auto"/>
            <w:vAlign w:val="center"/>
          </w:tcPr>
          <w:p w14:paraId="6E67DDE4">
            <w:pPr>
              <w:widowControl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毕业论文（设计）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21B86AD1"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必修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3AE6987C"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</w:p>
        </w:tc>
      </w:tr>
      <w:tr w14:paraId="455AF4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115" w:type="dxa"/>
            <w:shd w:val="clear" w:color="auto" w:fill="auto"/>
            <w:vAlign w:val="center"/>
          </w:tcPr>
          <w:p w14:paraId="065B36D2">
            <w:pPr>
              <w:widowControl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素质拓展</w:t>
            </w:r>
          </w:p>
        </w:tc>
        <w:tc>
          <w:tcPr>
            <w:tcW w:w="5005" w:type="dxa"/>
            <w:gridSpan w:val="2"/>
            <w:shd w:val="clear" w:color="auto" w:fill="auto"/>
            <w:vAlign w:val="center"/>
          </w:tcPr>
          <w:p w14:paraId="7452C6D7">
            <w:pPr>
              <w:widowControl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劳动教育、社会实践、美育实践、创新创业实践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26A31AEC"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选修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5A4C8A1A"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</w:p>
        </w:tc>
      </w:tr>
      <w:tr w14:paraId="35E6D5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7420" w:type="dxa"/>
            <w:gridSpan w:val="4"/>
            <w:shd w:val="clear" w:color="auto" w:fill="auto"/>
            <w:vAlign w:val="center"/>
          </w:tcPr>
          <w:p w14:paraId="039F129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  <w:lang w:val="en-US" w:eastAsia="zh-CN" w:bidi="ar"/>
              </w:rPr>
              <w:t>合计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745725A7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</w:tr>
    </w:tbl>
    <w:p w14:paraId="4EDB51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2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1.通识教育课程</w:t>
      </w:r>
    </w:p>
    <w:p w14:paraId="52D94C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420" w:firstLineChars="200"/>
        <w:jc w:val="both"/>
        <w:textAlignment w:val="auto"/>
        <w:rPr>
          <w:rFonts w:hint="eastAsia" w:ascii="黑体" w:hAnsi="黑体" w:eastAsia="黑体" w:cs="黑体"/>
          <w:color w:val="4874CB" w:themeColor="accent1"/>
          <w:kern w:val="2"/>
          <w:sz w:val="21"/>
          <w:szCs w:val="21"/>
          <w:highlight w:val="none"/>
          <w:lang w:val="en-US" w:eastAsia="zh-CN" w:bidi="zh-CN"/>
          <w14:textFill>
            <w14:solidFill>
              <w14:schemeClr w14:val="accent1"/>
            </w14:solidFill>
          </w14:textFill>
        </w:rPr>
      </w:pPr>
      <w:r>
        <w:rPr>
          <w:rFonts w:hint="eastAsia" w:ascii="黑体" w:hAnsi="黑体" w:eastAsia="黑体" w:cs="黑体"/>
          <w:color w:val="4874CB" w:themeColor="accent1"/>
          <w:kern w:val="2"/>
          <w:sz w:val="21"/>
          <w:szCs w:val="21"/>
          <w:highlight w:val="none"/>
          <w:lang w:val="en-US" w:eastAsia="zh-CN" w:bidi="zh-CN"/>
          <w14:textFill>
            <w14:solidFill>
              <w14:schemeClr w14:val="accent1"/>
            </w14:solidFill>
          </w14:textFill>
        </w:rPr>
        <w:t>（简述是否按照学校《通识教育课程设置方案》选择选择性开设相关课程，如有变化请说明理由。如：农学类专业建议开设《大学物理（丙）》，但本专业未开设，需说明理由。）</w:t>
      </w:r>
    </w:p>
    <w:p w14:paraId="265DFB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57CF04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608393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2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2.专业教育必修课</w:t>
      </w:r>
    </w:p>
    <w:p w14:paraId="5EE8BF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420" w:firstLineChars="200"/>
        <w:jc w:val="both"/>
        <w:textAlignment w:val="auto"/>
        <w:rPr>
          <w:rFonts w:hint="eastAsia" w:ascii="黑体" w:hAnsi="黑体" w:eastAsia="黑体" w:cs="黑体"/>
          <w:color w:val="4874CB" w:themeColor="accent1"/>
          <w:kern w:val="2"/>
          <w:sz w:val="21"/>
          <w:szCs w:val="21"/>
          <w:highlight w:val="none"/>
          <w:lang w:val="en-US" w:eastAsia="zh-CN" w:bidi="zh-CN"/>
          <w14:textFill>
            <w14:solidFill>
              <w14:schemeClr w14:val="accent1"/>
            </w14:solidFill>
          </w14:textFill>
        </w:rPr>
      </w:pPr>
      <w:r>
        <w:rPr>
          <w:rFonts w:hint="eastAsia" w:ascii="黑体" w:hAnsi="黑体" w:eastAsia="黑体" w:cs="黑体"/>
          <w:color w:val="4874CB" w:themeColor="accent1"/>
          <w:kern w:val="2"/>
          <w:sz w:val="21"/>
          <w:szCs w:val="21"/>
          <w:highlight w:val="none"/>
          <w:lang w:val="en-US" w:eastAsia="zh-CN" w:bidi="zh-CN"/>
          <w14:textFill>
            <w14:solidFill>
              <w14:schemeClr w14:val="accent1"/>
            </w14:solidFill>
          </w14:textFill>
        </w:rPr>
        <w:t>（专业教育必修课包括学科专业基础课和专业核心课2个模块。简述这两类课程与2019版相比的变化情况。原则上，这两类课程都是必修课，如设置为选修请说明理由）</w:t>
      </w:r>
    </w:p>
    <w:p w14:paraId="30D3D3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2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</w:p>
    <w:p w14:paraId="7DA78D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2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3.专业教育选修课</w:t>
      </w:r>
    </w:p>
    <w:p w14:paraId="63E39B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420" w:firstLineChars="200"/>
        <w:jc w:val="both"/>
        <w:textAlignment w:val="auto"/>
        <w:rPr>
          <w:rFonts w:hint="eastAsia" w:ascii="黑体" w:hAnsi="黑体" w:eastAsia="黑体" w:cs="黑体"/>
          <w:color w:val="4874CB" w:themeColor="accent1"/>
          <w:kern w:val="2"/>
          <w:sz w:val="21"/>
          <w:szCs w:val="21"/>
          <w:highlight w:val="none"/>
          <w:lang w:val="en-US" w:eastAsia="zh-CN" w:bidi="zh-CN"/>
          <w14:textFill>
            <w14:solidFill>
              <w14:schemeClr w14:val="accent1"/>
            </w14:solidFill>
          </w14:textFill>
        </w:rPr>
      </w:pPr>
      <w:r>
        <w:rPr>
          <w:rFonts w:hint="eastAsia" w:ascii="黑体" w:hAnsi="黑体" w:eastAsia="黑体" w:cs="黑体"/>
          <w:color w:val="4874CB" w:themeColor="accent1"/>
          <w:kern w:val="2"/>
          <w:sz w:val="21"/>
          <w:szCs w:val="21"/>
          <w:highlight w:val="none"/>
          <w:lang w:val="en-US" w:eastAsia="zh-CN" w:bidi="zh-CN"/>
          <w14:textFill>
            <w14:solidFill>
              <w14:schemeClr w14:val="accent1"/>
            </w14:solidFill>
          </w14:textFill>
        </w:rPr>
        <w:t>（专业教育选修课包括专业选修课、跨学科专业选修课和本研贯通课3个模块。请简述模块设置及修读要求。特别注意，如果专业选修课设置了多个方向模块，要在方案中说明是允许学生跨模块修读还是限定某一个某块修读。同时，请从本专业的学科专业基础课、专业核心课中列出 5 门左右课程，提供给其他专业学生选修。）</w:t>
      </w:r>
    </w:p>
    <w:p w14:paraId="2E848B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rPr>
          <w:rFonts w:hint="eastAsia" w:ascii="黑体" w:hAnsi="黑体" w:eastAsia="黑体" w:cs="黑体"/>
          <w:color w:val="auto"/>
          <w:kern w:val="2"/>
          <w:sz w:val="24"/>
          <w:szCs w:val="24"/>
          <w:highlight w:val="none"/>
          <w:lang w:val="en-US" w:eastAsia="zh-CN" w:bidi="zh-CN"/>
        </w:rPr>
      </w:pPr>
      <w:r>
        <w:rPr>
          <w:rFonts w:hint="eastAsia" w:ascii="黑体" w:hAnsi="黑体" w:eastAsia="黑体" w:cs="黑体"/>
          <w:color w:val="auto"/>
          <w:kern w:val="2"/>
          <w:sz w:val="24"/>
          <w:szCs w:val="24"/>
          <w:highlight w:val="none"/>
          <w:lang w:val="en-US" w:eastAsia="zh-CN" w:bidi="zh-CN"/>
        </w:rPr>
        <w:t>本专业跨学科专业开放课程清单</w:t>
      </w:r>
    </w:p>
    <w:tbl>
      <w:tblPr>
        <w:tblStyle w:val="2"/>
        <w:tblW w:w="500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063"/>
        <w:gridCol w:w="2712"/>
        <w:gridCol w:w="644"/>
        <w:gridCol w:w="781"/>
        <w:gridCol w:w="1833"/>
        <w:gridCol w:w="969"/>
      </w:tblGrid>
      <w:tr w14:paraId="3832C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313" w:type="pct"/>
            <w:vAlign w:val="center"/>
          </w:tcPr>
          <w:p w14:paraId="089B9F0E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序号</w:t>
            </w:r>
          </w:p>
        </w:tc>
        <w:tc>
          <w:tcPr>
            <w:tcW w:w="622" w:type="pct"/>
            <w:vAlign w:val="center"/>
          </w:tcPr>
          <w:p w14:paraId="0A063025">
            <w:pPr>
              <w:widowControl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8"/>
                <w:szCs w:val="18"/>
              </w:rPr>
              <w:t>课程编号</w:t>
            </w:r>
          </w:p>
        </w:tc>
        <w:tc>
          <w:tcPr>
            <w:tcW w:w="1587" w:type="pct"/>
            <w:vAlign w:val="center"/>
          </w:tcPr>
          <w:p w14:paraId="044781F1">
            <w:pPr>
              <w:widowControl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8"/>
                <w:szCs w:val="18"/>
              </w:rPr>
              <w:t>课程名称</w:t>
            </w:r>
          </w:p>
        </w:tc>
        <w:tc>
          <w:tcPr>
            <w:tcW w:w="377" w:type="pct"/>
            <w:vAlign w:val="center"/>
          </w:tcPr>
          <w:p w14:paraId="32222794">
            <w:pPr>
              <w:widowControl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8"/>
                <w:szCs w:val="18"/>
              </w:rPr>
              <w:t>学分</w:t>
            </w:r>
          </w:p>
        </w:tc>
        <w:tc>
          <w:tcPr>
            <w:tcW w:w="457" w:type="pct"/>
            <w:vAlign w:val="center"/>
          </w:tcPr>
          <w:p w14:paraId="31429C5C">
            <w:pPr>
              <w:widowControl/>
              <w:jc w:val="center"/>
              <w:rPr>
                <w:rFonts w:hint="eastAsia" w:ascii="黑体" w:hAnsi="黑体" w:eastAsia="黑体" w:cs="黑体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总学时</w:t>
            </w:r>
          </w:p>
        </w:tc>
        <w:tc>
          <w:tcPr>
            <w:tcW w:w="1073" w:type="pct"/>
            <w:vAlign w:val="center"/>
          </w:tcPr>
          <w:p w14:paraId="59C72FEE">
            <w:pPr>
              <w:widowControl/>
              <w:jc w:val="center"/>
              <w:rPr>
                <w:rFonts w:ascii="宋体" w:hAnsi="宋体" w:eastAsia="宋体" w:cs="仿宋_GB2312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8"/>
                <w:szCs w:val="18"/>
              </w:rPr>
              <w:t>开设学院</w:t>
            </w:r>
          </w:p>
        </w:tc>
        <w:tc>
          <w:tcPr>
            <w:tcW w:w="567" w:type="pct"/>
            <w:vAlign w:val="center"/>
          </w:tcPr>
          <w:p w14:paraId="7B084C9D">
            <w:pPr>
              <w:widowControl/>
              <w:jc w:val="center"/>
              <w:rPr>
                <w:rFonts w:ascii="宋体" w:hAnsi="宋体" w:eastAsia="宋体" w:cs="仿宋_GB2312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8"/>
                <w:szCs w:val="18"/>
              </w:rPr>
              <w:t>开设学期</w:t>
            </w:r>
          </w:p>
        </w:tc>
      </w:tr>
      <w:tr w14:paraId="1D389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313" w:type="pct"/>
            <w:vAlign w:val="center"/>
          </w:tcPr>
          <w:p w14:paraId="02DCF59A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22" w:type="pct"/>
            <w:vAlign w:val="center"/>
          </w:tcPr>
          <w:p w14:paraId="3D3D8B87">
            <w:pPr>
              <w:widowControl/>
              <w:jc w:val="left"/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87" w:type="pct"/>
            <w:vAlign w:val="center"/>
          </w:tcPr>
          <w:p w14:paraId="65AD1E8F">
            <w:pPr>
              <w:widowControl/>
              <w:jc w:val="left"/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7" w:type="pct"/>
            <w:vAlign w:val="center"/>
          </w:tcPr>
          <w:p w14:paraId="2BA9B929">
            <w:pPr>
              <w:widowControl/>
              <w:jc w:val="left"/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7" w:type="pct"/>
            <w:vAlign w:val="center"/>
          </w:tcPr>
          <w:p w14:paraId="13839128">
            <w:pPr>
              <w:widowControl/>
              <w:jc w:val="left"/>
              <w:rPr>
                <w:rFonts w:hint="eastAsia" w:ascii="黑体" w:hAnsi="黑体" w:eastAsia="黑体" w:cs="黑体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3" w:type="pct"/>
            <w:vAlign w:val="center"/>
          </w:tcPr>
          <w:p w14:paraId="2773865A">
            <w:pPr>
              <w:widowControl/>
              <w:jc w:val="left"/>
              <w:rPr>
                <w:rFonts w:ascii="宋体" w:hAnsi="宋体" w:eastAsia="宋体" w:cs="仿宋_GB2312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pct"/>
            <w:vAlign w:val="center"/>
          </w:tcPr>
          <w:p w14:paraId="64B4964C">
            <w:pPr>
              <w:widowControl/>
              <w:jc w:val="left"/>
              <w:rPr>
                <w:rFonts w:ascii="宋体" w:hAnsi="宋体" w:eastAsia="宋体" w:cs="仿宋_GB2312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14:paraId="447A97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313" w:type="pct"/>
            <w:vAlign w:val="center"/>
          </w:tcPr>
          <w:p w14:paraId="484A4ED5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622" w:type="pct"/>
            <w:vAlign w:val="center"/>
          </w:tcPr>
          <w:p w14:paraId="7D570C03">
            <w:pPr>
              <w:widowControl/>
              <w:jc w:val="left"/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87" w:type="pct"/>
            <w:vAlign w:val="center"/>
          </w:tcPr>
          <w:p w14:paraId="6B6C9C80">
            <w:pPr>
              <w:widowControl/>
              <w:jc w:val="left"/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7" w:type="pct"/>
            <w:vAlign w:val="center"/>
          </w:tcPr>
          <w:p w14:paraId="7D2E720F">
            <w:pPr>
              <w:widowControl/>
              <w:jc w:val="left"/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7" w:type="pct"/>
            <w:vAlign w:val="center"/>
          </w:tcPr>
          <w:p w14:paraId="08DE0A50">
            <w:pPr>
              <w:widowControl/>
              <w:jc w:val="left"/>
              <w:rPr>
                <w:rFonts w:hint="eastAsia" w:ascii="黑体" w:hAnsi="黑体" w:eastAsia="黑体" w:cs="黑体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3" w:type="pct"/>
            <w:vAlign w:val="center"/>
          </w:tcPr>
          <w:p w14:paraId="6E86C8DD">
            <w:pPr>
              <w:widowControl/>
              <w:jc w:val="left"/>
              <w:rPr>
                <w:rFonts w:ascii="宋体" w:hAnsi="宋体" w:eastAsia="宋体" w:cs="仿宋_GB2312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pct"/>
            <w:vAlign w:val="center"/>
          </w:tcPr>
          <w:p w14:paraId="4A67B32E">
            <w:pPr>
              <w:widowControl/>
              <w:jc w:val="left"/>
              <w:rPr>
                <w:rFonts w:ascii="宋体" w:hAnsi="宋体" w:eastAsia="宋体" w:cs="仿宋_GB2312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14:paraId="267EBA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313" w:type="pct"/>
            <w:vAlign w:val="center"/>
          </w:tcPr>
          <w:p w14:paraId="7A9D80F1">
            <w:pPr>
              <w:widowControl/>
              <w:jc w:val="center"/>
              <w:rPr>
                <w:rFonts w:hint="default" w:ascii="黑体" w:hAnsi="黑体" w:eastAsia="黑体" w:cs="黑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622" w:type="pct"/>
            <w:vAlign w:val="center"/>
          </w:tcPr>
          <w:p w14:paraId="1E818491">
            <w:pPr>
              <w:widowControl/>
              <w:jc w:val="left"/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87" w:type="pct"/>
            <w:vAlign w:val="center"/>
          </w:tcPr>
          <w:p w14:paraId="5F82A9AC">
            <w:pPr>
              <w:widowControl/>
              <w:jc w:val="left"/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7" w:type="pct"/>
            <w:vAlign w:val="center"/>
          </w:tcPr>
          <w:p w14:paraId="2002E5E8">
            <w:pPr>
              <w:widowControl/>
              <w:jc w:val="left"/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7" w:type="pct"/>
            <w:vAlign w:val="center"/>
          </w:tcPr>
          <w:p w14:paraId="30F77BC6">
            <w:pPr>
              <w:widowControl/>
              <w:jc w:val="left"/>
              <w:rPr>
                <w:rFonts w:hint="eastAsia" w:ascii="黑体" w:hAnsi="黑体" w:eastAsia="黑体" w:cs="黑体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3" w:type="pct"/>
            <w:vAlign w:val="center"/>
          </w:tcPr>
          <w:p w14:paraId="735A0C70">
            <w:pPr>
              <w:widowControl/>
              <w:jc w:val="left"/>
              <w:rPr>
                <w:rFonts w:ascii="宋体" w:hAnsi="宋体" w:eastAsia="宋体" w:cs="仿宋_GB2312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pct"/>
            <w:vAlign w:val="center"/>
          </w:tcPr>
          <w:p w14:paraId="0FD0CBC6">
            <w:pPr>
              <w:widowControl/>
              <w:jc w:val="left"/>
              <w:rPr>
                <w:rFonts w:ascii="宋体" w:hAnsi="宋体" w:eastAsia="宋体" w:cs="仿宋_GB2312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14:paraId="2D518A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313" w:type="pct"/>
            <w:vAlign w:val="center"/>
          </w:tcPr>
          <w:p w14:paraId="02D61E5A">
            <w:pPr>
              <w:widowControl/>
              <w:jc w:val="center"/>
              <w:rPr>
                <w:rFonts w:hint="default" w:ascii="黑体" w:hAnsi="黑体" w:eastAsia="黑体" w:cs="黑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622" w:type="pct"/>
            <w:vAlign w:val="center"/>
          </w:tcPr>
          <w:p w14:paraId="17032D54">
            <w:pPr>
              <w:widowControl/>
              <w:jc w:val="left"/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87" w:type="pct"/>
            <w:vAlign w:val="center"/>
          </w:tcPr>
          <w:p w14:paraId="01450579">
            <w:pPr>
              <w:widowControl/>
              <w:jc w:val="left"/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7" w:type="pct"/>
            <w:vAlign w:val="center"/>
          </w:tcPr>
          <w:p w14:paraId="1CD9012E">
            <w:pPr>
              <w:widowControl/>
              <w:jc w:val="left"/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7" w:type="pct"/>
            <w:vAlign w:val="center"/>
          </w:tcPr>
          <w:p w14:paraId="299B0ED6">
            <w:pPr>
              <w:widowControl/>
              <w:jc w:val="left"/>
              <w:rPr>
                <w:rFonts w:hint="eastAsia" w:ascii="黑体" w:hAnsi="黑体" w:eastAsia="黑体" w:cs="黑体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3" w:type="pct"/>
            <w:vAlign w:val="center"/>
          </w:tcPr>
          <w:p w14:paraId="335901B0">
            <w:pPr>
              <w:widowControl/>
              <w:jc w:val="left"/>
              <w:rPr>
                <w:rFonts w:ascii="宋体" w:hAnsi="宋体" w:eastAsia="宋体" w:cs="仿宋_GB2312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pct"/>
            <w:vAlign w:val="center"/>
          </w:tcPr>
          <w:p w14:paraId="5BF3B04E">
            <w:pPr>
              <w:widowControl/>
              <w:jc w:val="left"/>
              <w:rPr>
                <w:rFonts w:ascii="宋体" w:hAnsi="宋体" w:eastAsia="宋体" w:cs="仿宋_GB2312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14:paraId="3E556D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313" w:type="pct"/>
            <w:vAlign w:val="center"/>
          </w:tcPr>
          <w:p w14:paraId="66664635">
            <w:pPr>
              <w:widowControl/>
              <w:jc w:val="center"/>
              <w:rPr>
                <w:rFonts w:hint="default" w:ascii="黑体" w:hAnsi="黑体" w:eastAsia="黑体" w:cs="黑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622" w:type="pct"/>
            <w:vAlign w:val="center"/>
          </w:tcPr>
          <w:p w14:paraId="0DFDE676">
            <w:pPr>
              <w:widowControl/>
              <w:jc w:val="left"/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87" w:type="pct"/>
            <w:vAlign w:val="center"/>
          </w:tcPr>
          <w:p w14:paraId="4BD83EE6">
            <w:pPr>
              <w:widowControl/>
              <w:jc w:val="left"/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7" w:type="pct"/>
            <w:vAlign w:val="center"/>
          </w:tcPr>
          <w:p w14:paraId="4589D0F7">
            <w:pPr>
              <w:widowControl/>
              <w:jc w:val="left"/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7" w:type="pct"/>
            <w:vAlign w:val="center"/>
          </w:tcPr>
          <w:p w14:paraId="5B8712F8">
            <w:pPr>
              <w:widowControl/>
              <w:jc w:val="left"/>
              <w:rPr>
                <w:rFonts w:hint="eastAsia" w:ascii="黑体" w:hAnsi="黑体" w:eastAsia="黑体" w:cs="黑体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3" w:type="pct"/>
            <w:vAlign w:val="center"/>
          </w:tcPr>
          <w:p w14:paraId="557FFB49">
            <w:pPr>
              <w:widowControl/>
              <w:jc w:val="left"/>
              <w:rPr>
                <w:rFonts w:ascii="宋体" w:hAnsi="宋体" w:eastAsia="宋体" w:cs="仿宋_GB2312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pct"/>
            <w:vAlign w:val="center"/>
          </w:tcPr>
          <w:p w14:paraId="2D20EB08">
            <w:pPr>
              <w:widowControl/>
              <w:jc w:val="left"/>
              <w:rPr>
                <w:rFonts w:ascii="宋体" w:hAnsi="宋体" w:eastAsia="宋体" w:cs="仿宋_GB2312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</w:tbl>
    <w:p w14:paraId="5A8CAF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both"/>
        <w:textAlignment w:val="auto"/>
        <w:rPr>
          <w:rFonts w:hint="eastAsia" w:ascii="黑体" w:hAnsi="黑体" w:eastAsia="黑体" w:cs="黑体"/>
          <w:color w:val="4874CB" w:themeColor="accent1"/>
          <w:kern w:val="2"/>
          <w:sz w:val="21"/>
          <w:szCs w:val="21"/>
          <w:highlight w:val="none"/>
          <w:lang w:val="en-US" w:eastAsia="zh-CN" w:bidi="zh-CN"/>
          <w14:textFill>
            <w14:solidFill>
              <w14:schemeClr w14:val="accent1"/>
            </w14:solidFill>
          </w14:textFill>
        </w:rPr>
      </w:pPr>
      <w:r>
        <w:rPr>
          <w:rFonts w:hint="eastAsia" w:ascii="黑体" w:hAnsi="黑体" w:eastAsia="黑体" w:cs="黑体"/>
          <w:color w:val="4874CB" w:themeColor="accent1"/>
          <w:kern w:val="2"/>
          <w:sz w:val="21"/>
          <w:szCs w:val="21"/>
          <w:highlight w:val="none"/>
          <w:lang w:val="en-US" w:eastAsia="zh-CN" w:bidi="zh-CN"/>
          <w14:textFill>
            <w14:solidFill>
              <w14:schemeClr w14:val="accent1"/>
            </w14:solidFill>
          </w14:textFill>
        </w:rPr>
        <w:t>说明：课程名称、课程编号、学时学分等课程信息应与教务系统一致。</w:t>
      </w:r>
    </w:p>
    <w:p w14:paraId="080D13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2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4.综合实践课程</w:t>
      </w:r>
    </w:p>
    <w:p w14:paraId="678DB0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560" w:firstLineChars="200"/>
        <w:jc w:val="both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实践教学学分比例   %，实践教学学时比例   %。</w:t>
      </w:r>
    </w:p>
    <w:p w14:paraId="7F2217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2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5.素质拓展</w:t>
      </w:r>
    </w:p>
    <w:p w14:paraId="549608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420" w:firstLineChars="200"/>
        <w:jc w:val="both"/>
        <w:textAlignment w:val="auto"/>
        <w:rPr>
          <w:rFonts w:hint="eastAsia" w:ascii="黑体" w:hAnsi="黑体" w:eastAsia="黑体" w:cs="黑体"/>
          <w:color w:val="4874CB" w:themeColor="accent1"/>
          <w:kern w:val="2"/>
          <w:sz w:val="18"/>
          <w:szCs w:val="18"/>
          <w:highlight w:val="none"/>
          <w:lang w:val="en-US" w:eastAsia="zh-CN" w:bidi="zh-CN"/>
          <w14:textFill>
            <w14:solidFill>
              <w14:schemeClr w14:val="accent1"/>
            </w14:solidFill>
          </w14:textFill>
        </w:rPr>
      </w:pPr>
      <w:r>
        <w:rPr>
          <w:rFonts w:hint="eastAsia" w:ascii="黑体" w:hAnsi="黑体" w:eastAsia="黑体" w:cs="黑体"/>
          <w:color w:val="4874CB" w:themeColor="accent1"/>
          <w:kern w:val="2"/>
          <w:sz w:val="21"/>
          <w:szCs w:val="21"/>
          <w:highlight w:val="none"/>
          <w:lang w:val="en-US" w:eastAsia="zh-CN" w:bidi="zh-CN"/>
          <w14:textFill>
            <w14:solidFill>
              <w14:schemeClr w14:val="accent1"/>
            </w14:solidFill>
          </w14:textFill>
        </w:rPr>
        <w:t>（是否严格按照学校要求设置劳动教育、社会实践、美育实践、创新创业实践4个环节，如有调整请说明理由</w:t>
      </w:r>
      <w:r>
        <w:rPr>
          <w:rFonts w:hint="eastAsia" w:ascii="黑体" w:hAnsi="黑体" w:eastAsia="黑体" w:cs="黑体"/>
          <w:color w:val="4874CB" w:themeColor="accent1"/>
          <w:kern w:val="2"/>
          <w:sz w:val="18"/>
          <w:szCs w:val="18"/>
          <w:highlight w:val="none"/>
          <w:lang w:val="en-US" w:eastAsia="zh-CN" w:bidi="zh-CN"/>
          <w14:textFill>
            <w14:solidFill>
              <w14:schemeClr w14:val="accent1"/>
            </w14:solidFill>
          </w14:textFill>
        </w:rPr>
        <w:t>）</w:t>
      </w:r>
    </w:p>
    <w:p w14:paraId="558555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54A3C1B2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0" w:firstLineChars="200"/>
        <w:jc w:val="both"/>
        <w:textAlignment w:val="auto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课程开设情况</w:t>
      </w:r>
    </w:p>
    <w:p w14:paraId="56DFE1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420" w:firstLineChars="200"/>
        <w:jc w:val="both"/>
        <w:textAlignment w:val="auto"/>
        <w:rPr>
          <w:rFonts w:hint="default" w:ascii="黑体" w:hAnsi="黑体" w:eastAsia="黑体" w:cs="黑体"/>
          <w:color w:val="4874CB" w:themeColor="accent1"/>
          <w:kern w:val="2"/>
          <w:sz w:val="21"/>
          <w:szCs w:val="21"/>
          <w:highlight w:val="none"/>
          <w:lang w:val="en-US" w:eastAsia="zh-CN" w:bidi="zh-CN"/>
          <w14:textFill>
            <w14:solidFill>
              <w14:schemeClr w14:val="accent1"/>
            </w14:solidFill>
          </w14:textFill>
        </w:rPr>
      </w:pPr>
      <w:r>
        <w:rPr>
          <w:rFonts w:hint="eastAsia" w:ascii="黑体" w:hAnsi="黑体" w:eastAsia="黑体" w:cs="黑体"/>
          <w:color w:val="4874CB" w:themeColor="accent1"/>
          <w:kern w:val="2"/>
          <w:sz w:val="21"/>
          <w:szCs w:val="21"/>
          <w:highlight w:val="none"/>
          <w:lang w:val="en-US" w:eastAsia="zh-CN" w:bidi="zh-CN"/>
          <w14:textFill>
            <w14:solidFill>
              <w14:schemeClr w14:val="accent1"/>
            </w14:solidFill>
          </w14:textFill>
        </w:rPr>
        <w:t>（概述本专业专业教育及综合实践2个模块课程优化整合情况，不含全校公共基础课和通识选修课。</w:t>
      </w:r>
    </w:p>
    <w:p w14:paraId="3EA256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0" w:firstLineChars="0"/>
        <w:jc w:val="both"/>
        <w:textAlignment w:val="auto"/>
        <w:rPr>
          <w:rFonts w:hint="eastAsia" w:ascii="黑体" w:hAnsi="黑体" w:eastAsia="黑体" w:cs="黑体"/>
          <w:color w:val="4874CB" w:themeColor="accent1"/>
          <w:kern w:val="2"/>
          <w:sz w:val="21"/>
          <w:szCs w:val="21"/>
          <w:highlight w:val="none"/>
          <w:lang w:val="en-US" w:eastAsia="zh-CN" w:bidi="zh-CN"/>
          <w14:textFill>
            <w14:solidFill>
              <w14:schemeClr w14:val="accent1"/>
            </w14:solidFill>
          </w14:textFill>
        </w:rPr>
      </w:pPr>
      <w:r>
        <w:rPr>
          <w:rFonts w:hint="eastAsia" w:ascii="黑体" w:hAnsi="黑体" w:eastAsia="黑体" w:cs="黑体"/>
          <w:color w:val="4874CB" w:themeColor="accent1"/>
          <w:kern w:val="2"/>
          <w:sz w:val="21"/>
          <w:szCs w:val="21"/>
          <w:highlight w:val="none"/>
          <w:lang w:val="en-US" w:eastAsia="zh-CN" w:bidi="zh-CN"/>
          <w14:textFill>
            <w14:solidFill>
              <w14:schemeClr w14:val="accent1"/>
            </w14:solidFill>
          </w14:textFill>
        </w:rPr>
        <w:t>开新课—指首次在我校本科专业开设的新课程；</w:t>
      </w:r>
    </w:p>
    <w:p w14:paraId="6BB421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0" w:firstLineChars="0"/>
        <w:jc w:val="both"/>
        <w:textAlignment w:val="auto"/>
        <w:rPr>
          <w:rFonts w:hint="eastAsia" w:ascii="黑体" w:hAnsi="黑体" w:eastAsia="黑体" w:cs="黑体"/>
          <w:color w:val="4874CB" w:themeColor="accent1"/>
          <w:kern w:val="2"/>
          <w:sz w:val="21"/>
          <w:szCs w:val="21"/>
          <w:highlight w:val="none"/>
          <w:lang w:val="en-US" w:eastAsia="zh-CN" w:bidi="zh-CN"/>
          <w14:textFill>
            <w14:solidFill>
              <w14:schemeClr w14:val="accent1"/>
            </w14:solidFill>
          </w14:textFill>
        </w:rPr>
      </w:pPr>
      <w:r>
        <w:rPr>
          <w:rFonts w:hint="eastAsia" w:ascii="黑体" w:hAnsi="黑体" w:eastAsia="黑体" w:cs="黑体"/>
          <w:color w:val="4874CB" w:themeColor="accent1"/>
          <w:kern w:val="2"/>
          <w:sz w:val="21"/>
          <w:szCs w:val="21"/>
          <w:highlight w:val="none"/>
          <w:lang w:val="en-US" w:eastAsia="zh-CN" w:bidi="zh-CN"/>
          <w14:textFill>
            <w14:solidFill>
              <w14:schemeClr w14:val="accent1"/>
            </w14:solidFill>
          </w14:textFill>
        </w:rPr>
        <w:t>新开课—指本专业首次开出其他专业已有的课程；</w:t>
      </w:r>
    </w:p>
    <w:p w14:paraId="1E2B37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0" w:firstLineChars="0"/>
        <w:jc w:val="both"/>
        <w:textAlignment w:val="auto"/>
        <w:rPr>
          <w:rFonts w:hint="eastAsia" w:ascii="黑体" w:hAnsi="黑体" w:eastAsia="黑体" w:cs="黑体"/>
          <w:color w:val="4874CB" w:themeColor="accent1"/>
          <w:kern w:val="2"/>
          <w:sz w:val="21"/>
          <w:szCs w:val="21"/>
          <w:highlight w:val="none"/>
          <w:lang w:val="en-US" w:eastAsia="zh-CN" w:bidi="zh-CN"/>
          <w14:textFill>
            <w14:solidFill>
              <w14:schemeClr w14:val="accent1"/>
            </w14:solidFill>
          </w14:textFill>
        </w:rPr>
      </w:pPr>
      <w:r>
        <w:rPr>
          <w:rFonts w:hint="eastAsia" w:ascii="黑体" w:hAnsi="黑体" w:eastAsia="黑体" w:cs="黑体"/>
          <w:color w:val="4874CB" w:themeColor="accent1"/>
          <w:kern w:val="2"/>
          <w:sz w:val="21"/>
          <w:szCs w:val="21"/>
          <w:highlight w:val="none"/>
          <w:lang w:val="en-US" w:eastAsia="zh-CN" w:bidi="zh-CN"/>
          <w14:textFill>
            <w14:solidFill>
              <w14:schemeClr w14:val="accent1"/>
            </w14:solidFill>
          </w14:textFill>
        </w:rPr>
        <w:t>淘汰课程—指2019版方案中不再开设的课程；</w:t>
      </w:r>
    </w:p>
    <w:p w14:paraId="059863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0" w:firstLineChars="0"/>
        <w:jc w:val="both"/>
        <w:textAlignment w:val="auto"/>
        <w:rPr>
          <w:rFonts w:hint="eastAsia" w:ascii="黑体" w:hAnsi="黑体" w:eastAsia="黑体" w:cs="黑体"/>
          <w:color w:val="4874CB" w:themeColor="accent1"/>
          <w:kern w:val="2"/>
          <w:sz w:val="21"/>
          <w:szCs w:val="21"/>
          <w:highlight w:val="none"/>
          <w:lang w:val="en-US" w:eastAsia="zh-CN" w:bidi="zh-CN"/>
          <w14:textFill>
            <w14:solidFill>
              <w14:schemeClr w14:val="accent1"/>
            </w14:solidFill>
          </w14:textFill>
        </w:rPr>
      </w:pPr>
      <w:r>
        <w:rPr>
          <w:rFonts w:hint="eastAsia" w:ascii="黑体" w:hAnsi="黑体" w:eastAsia="黑体" w:cs="黑体"/>
          <w:color w:val="4874CB" w:themeColor="accent1"/>
          <w:kern w:val="2"/>
          <w:sz w:val="21"/>
          <w:szCs w:val="21"/>
          <w:highlight w:val="none"/>
          <w:lang w:val="en-US" w:eastAsia="zh-CN" w:bidi="zh-CN"/>
          <w14:textFill>
            <w14:solidFill>
              <w14:schemeClr w14:val="accent1"/>
            </w14:solidFill>
          </w14:textFill>
        </w:rPr>
        <w:t>整合课程—指将2门及以上的课程优化整合为1门课程；</w:t>
      </w:r>
    </w:p>
    <w:p w14:paraId="416674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0" w:firstLineChars="0"/>
        <w:jc w:val="both"/>
        <w:textAlignment w:val="auto"/>
        <w:rPr>
          <w:rFonts w:hint="default" w:ascii="黑体" w:hAnsi="黑体" w:eastAsia="黑体" w:cs="黑体"/>
          <w:color w:val="4874CB" w:themeColor="accent1"/>
          <w:kern w:val="2"/>
          <w:sz w:val="21"/>
          <w:szCs w:val="21"/>
          <w:highlight w:val="none"/>
          <w:lang w:val="en-US" w:eastAsia="zh-CN" w:bidi="zh-CN"/>
          <w14:textFill>
            <w14:solidFill>
              <w14:schemeClr w14:val="accent1"/>
            </w14:solidFill>
          </w14:textFill>
        </w:rPr>
      </w:pPr>
      <w:r>
        <w:rPr>
          <w:rFonts w:hint="eastAsia" w:ascii="黑体" w:hAnsi="黑体" w:eastAsia="黑体" w:cs="黑体"/>
          <w:color w:val="4874CB" w:themeColor="accent1"/>
          <w:kern w:val="2"/>
          <w:sz w:val="21"/>
          <w:szCs w:val="21"/>
          <w:highlight w:val="none"/>
          <w:lang w:val="en-US" w:eastAsia="zh-CN" w:bidi="zh-CN"/>
          <w14:textFill>
            <w14:solidFill>
              <w14:schemeClr w14:val="accent1"/>
            </w14:solidFill>
          </w14:textFill>
        </w:rPr>
        <w:t>调整课程-指调整原有课程学时学分；</w:t>
      </w:r>
    </w:p>
    <w:p w14:paraId="37D250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both"/>
        <w:textAlignment w:val="auto"/>
        <w:rPr>
          <w:rFonts w:hint="default" w:ascii="黑体" w:hAnsi="黑体" w:eastAsia="黑体" w:cs="黑体"/>
          <w:color w:val="4874CB" w:themeColor="accent1"/>
          <w:kern w:val="2"/>
          <w:sz w:val="21"/>
          <w:szCs w:val="21"/>
          <w:highlight w:val="none"/>
          <w:lang w:val="en-US" w:eastAsia="zh-CN" w:bidi="zh-CN"/>
          <w14:textFill>
            <w14:solidFill>
              <w14:schemeClr w14:val="accent1"/>
            </w14:solidFill>
          </w14:textFill>
        </w:rPr>
      </w:pPr>
      <w:r>
        <w:rPr>
          <w:rFonts w:hint="eastAsia" w:ascii="黑体" w:hAnsi="黑体" w:eastAsia="黑体" w:cs="黑体"/>
          <w:color w:val="4874CB" w:themeColor="accent1"/>
          <w:kern w:val="2"/>
          <w:sz w:val="21"/>
          <w:szCs w:val="21"/>
          <w:highlight w:val="none"/>
          <w:lang w:val="en-US" w:eastAsia="zh-CN" w:bidi="zh-CN"/>
          <w14:textFill>
            <w14:solidFill>
              <w14:schemeClr w14:val="accent1"/>
            </w14:solidFill>
          </w14:textFill>
        </w:rPr>
        <w:t>沿用课程—沿用已有课程，无学时学分变化。）</w:t>
      </w:r>
    </w:p>
    <w:p w14:paraId="6C6861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0" w:firstLineChars="0"/>
        <w:jc w:val="both"/>
        <w:textAlignment w:val="auto"/>
        <w:rPr>
          <w:rFonts w:hint="eastAsia" w:ascii="黑体" w:hAnsi="黑体" w:eastAsia="黑体" w:cs="黑体"/>
          <w:color w:val="4874CB" w:themeColor="accent1"/>
          <w:kern w:val="2"/>
          <w:sz w:val="21"/>
          <w:szCs w:val="21"/>
          <w:highlight w:val="none"/>
          <w:lang w:val="en-US" w:eastAsia="zh-CN" w:bidi="zh-CN"/>
          <w14:textFill>
            <w14:solidFill>
              <w14:schemeClr w14:val="accent1"/>
            </w14:solidFill>
          </w14:textFill>
        </w:rPr>
      </w:pPr>
    </w:p>
    <w:p w14:paraId="4BDCC9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本专业2025版方案中开新课XX门，新开课XX门，淘汰课程XX门，整合课程XX门，调整课程XX门，沿用2019版已有课程XX门。详单见《课程门数统计表》《课程优化整合清单》。</w:t>
      </w:r>
    </w:p>
    <w:p w14:paraId="6A1396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560" w:firstLineChars="200"/>
        <w:jc w:val="both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根据学校要求“2019 版培养方案中，开出次数不足 2 次的选修课不得再列入新版培养方案”，本专业2019版培养方案中学科专业选修课共X门，其中XX、XX等X门课程开出次数不足 2 次，且均未纳入2025版培养方案。</w:t>
      </w:r>
    </w:p>
    <w:p w14:paraId="7A1D1FC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课程内容</w:t>
      </w:r>
    </w:p>
    <w:p w14:paraId="47E6EF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420" w:firstLineChars="200"/>
        <w:jc w:val="both"/>
        <w:textAlignment w:val="auto"/>
        <w:rPr>
          <w:rFonts w:hint="eastAsia" w:ascii="黑体" w:hAnsi="黑体" w:eastAsia="黑体" w:cs="黑体"/>
          <w:color w:val="4874CB" w:themeColor="accent1"/>
          <w:kern w:val="2"/>
          <w:sz w:val="21"/>
          <w:szCs w:val="21"/>
          <w:highlight w:val="none"/>
          <w:lang w:val="en-US" w:eastAsia="zh-CN" w:bidi="zh-CN"/>
          <w14:textFill>
            <w14:solidFill>
              <w14:schemeClr w14:val="accent1"/>
            </w14:solidFill>
          </w14:textFill>
        </w:rPr>
      </w:pPr>
      <w:r>
        <w:rPr>
          <w:rFonts w:hint="eastAsia" w:ascii="黑体" w:hAnsi="黑体" w:eastAsia="黑体" w:cs="黑体"/>
          <w:color w:val="4874CB" w:themeColor="accent1"/>
          <w:kern w:val="2"/>
          <w:sz w:val="21"/>
          <w:szCs w:val="21"/>
          <w:highlight w:val="none"/>
          <w:lang w:val="en-US" w:eastAsia="zh-CN" w:bidi="zh-CN"/>
          <w14:textFill>
            <w14:solidFill>
              <w14:schemeClr w14:val="accent1"/>
            </w14:solidFill>
          </w14:textFill>
        </w:rPr>
        <w:t>（培养方案修订不是简单的课程罗列与调整，其核心在于构建动态响应国家战略需求、紧跟科技前沿发展、精准对接产业升级的人才培养知识体系，建立课程体系与课程内容快速迭代机制。</w:t>
      </w:r>
    </w:p>
    <w:p w14:paraId="28DFC2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420" w:firstLineChars="200"/>
        <w:jc w:val="both"/>
        <w:textAlignment w:val="auto"/>
        <w:rPr>
          <w:rFonts w:hint="eastAsia" w:ascii="黑体" w:hAnsi="黑体" w:eastAsia="黑体" w:cs="黑体"/>
          <w:color w:val="4874CB" w:themeColor="accent1"/>
          <w:kern w:val="2"/>
          <w:sz w:val="21"/>
          <w:szCs w:val="21"/>
          <w:highlight w:val="none"/>
          <w:lang w:val="en-US" w:eastAsia="zh-CN" w:bidi="zh-CN"/>
          <w14:textFill>
            <w14:solidFill>
              <w14:schemeClr w14:val="accent1"/>
            </w14:solidFill>
          </w14:textFill>
        </w:rPr>
      </w:pPr>
      <w:r>
        <w:rPr>
          <w:rFonts w:hint="eastAsia" w:ascii="黑体" w:hAnsi="黑体" w:eastAsia="黑体" w:cs="黑体"/>
          <w:color w:val="4874CB" w:themeColor="accent1"/>
          <w:kern w:val="2"/>
          <w:sz w:val="21"/>
          <w:szCs w:val="21"/>
          <w:highlight w:val="none"/>
          <w:lang w:val="en-US" w:eastAsia="zh-CN" w:bidi="zh-CN"/>
          <w14:textFill>
            <w14:solidFill>
              <w14:schemeClr w14:val="accent1"/>
            </w14:solidFill>
          </w14:textFill>
        </w:rPr>
        <w:t>各专业要根据《意见》要求，填写每一项任务要求目前的落实情况；要求新开的各类课程，要明确列出课程名称和课程编号；尚未完全落实的要提出下一步的工作举措并在下半年逐步推进落实。）</w:t>
      </w:r>
    </w:p>
    <w:tbl>
      <w:tblPr>
        <w:tblStyle w:val="3"/>
        <w:tblW w:w="88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4"/>
        <w:gridCol w:w="964"/>
        <w:gridCol w:w="7292"/>
      </w:tblGrid>
      <w:tr w14:paraId="7EC588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614" w:type="dxa"/>
            <w:vAlign w:val="center"/>
          </w:tcPr>
          <w:p w14:paraId="1F0B253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8256" w:type="dxa"/>
            <w:gridSpan w:val="2"/>
            <w:vAlign w:val="center"/>
          </w:tcPr>
          <w:p w14:paraId="5AB93A8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修订要求及落实情况</w:t>
            </w:r>
          </w:p>
        </w:tc>
      </w:tr>
      <w:tr w14:paraId="5850CE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</w:trPr>
        <w:tc>
          <w:tcPr>
            <w:tcW w:w="614" w:type="dxa"/>
            <w:vMerge w:val="restart"/>
            <w:vAlign w:val="center"/>
          </w:tcPr>
          <w:p w14:paraId="276D8F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964" w:type="dxa"/>
            <w:vAlign w:val="center"/>
          </w:tcPr>
          <w:p w14:paraId="169CB81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修订要求</w:t>
            </w:r>
          </w:p>
        </w:tc>
        <w:tc>
          <w:tcPr>
            <w:tcW w:w="7292" w:type="dxa"/>
            <w:vAlign w:val="center"/>
          </w:tcPr>
          <w:p w14:paraId="6B4947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以需求导向和学科交叉开展课程知识体系重组；面向“四新”建设新要求前瞻性地规划与开设新课程（项目），缩短新技术进入课程的周期</w:t>
            </w:r>
          </w:p>
        </w:tc>
      </w:tr>
      <w:tr w14:paraId="7A373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7" w:hRule="atLeast"/>
        </w:trPr>
        <w:tc>
          <w:tcPr>
            <w:tcW w:w="614" w:type="dxa"/>
            <w:vMerge w:val="continue"/>
            <w:vAlign w:val="center"/>
          </w:tcPr>
          <w:p w14:paraId="653B87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64" w:type="dxa"/>
            <w:vAlign w:val="center"/>
          </w:tcPr>
          <w:p w14:paraId="3E1319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已落实情况</w:t>
            </w:r>
          </w:p>
        </w:tc>
        <w:tc>
          <w:tcPr>
            <w:tcW w:w="7292" w:type="dxa"/>
            <w:vAlign w:val="center"/>
          </w:tcPr>
          <w:p w14:paraId="5B3BDE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 w14:paraId="18134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7" w:hRule="atLeast"/>
        </w:trPr>
        <w:tc>
          <w:tcPr>
            <w:tcW w:w="614" w:type="dxa"/>
            <w:vMerge w:val="continue"/>
            <w:vAlign w:val="center"/>
          </w:tcPr>
          <w:p w14:paraId="794F718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64" w:type="dxa"/>
            <w:vAlign w:val="center"/>
          </w:tcPr>
          <w:p w14:paraId="7E4FB9B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下一步计划</w:t>
            </w:r>
          </w:p>
        </w:tc>
        <w:tc>
          <w:tcPr>
            <w:tcW w:w="7292" w:type="dxa"/>
            <w:vAlign w:val="center"/>
          </w:tcPr>
          <w:p w14:paraId="009621B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17A9A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</w:trPr>
        <w:tc>
          <w:tcPr>
            <w:tcW w:w="614" w:type="dxa"/>
            <w:vMerge w:val="restart"/>
            <w:vAlign w:val="center"/>
          </w:tcPr>
          <w:p w14:paraId="60ABCD8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22AC986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修订要求</w:t>
            </w:r>
          </w:p>
        </w:tc>
        <w:tc>
          <w:tcPr>
            <w:tcW w:w="7292" w:type="dxa"/>
            <w:vAlign w:val="center"/>
          </w:tcPr>
          <w:p w14:paraId="228ECFB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将人工智能、大数据、云计算、区块链等现代信息技术融入专业课程（项目），新建或改造现代信息技术与专业融合类课程（项目），大力推进“AI+”课堂创新，培养学生的数字化能力并加强信息伦理教育。</w:t>
            </w:r>
          </w:p>
        </w:tc>
      </w:tr>
      <w:tr w14:paraId="1A94DD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6" w:hRule="atLeast"/>
        </w:trPr>
        <w:tc>
          <w:tcPr>
            <w:tcW w:w="614" w:type="dxa"/>
            <w:vMerge w:val="continue"/>
            <w:vAlign w:val="center"/>
          </w:tcPr>
          <w:p w14:paraId="5C9B30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14:paraId="579A134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已落实情况</w:t>
            </w:r>
          </w:p>
        </w:tc>
        <w:tc>
          <w:tcPr>
            <w:tcW w:w="7292" w:type="dxa"/>
            <w:vAlign w:val="center"/>
          </w:tcPr>
          <w:p w14:paraId="2E0841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 w14:paraId="0CC8F6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4" w:hRule="atLeast"/>
        </w:trPr>
        <w:tc>
          <w:tcPr>
            <w:tcW w:w="614" w:type="dxa"/>
            <w:vMerge w:val="continue"/>
            <w:vAlign w:val="center"/>
          </w:tcPr>
          <w:p w14:paraId="214C962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14:paraId="2CBCDD5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下一步计划</w:t>
            </w:r>
          </w:p>
        </w:tc>
        <w:tc>
          <w:tcPr>
            <w:tcW w:w="7292" w:type="dxa"/>
            <w:vAlign w:val="center"/>
          </w:tcPr>
          <w:p w14:paraId="3B5C4CB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09151D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614" w:type="dxa"/>
            <w:vMerge w:val="restart"/>
            <w:vAlign w:val="center"/>
          </w:tcPr>
          <w:p w14:paraId="5626C2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482A7D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修订要求</w:t>
            </w:r>
          </w:p>
        </w:tc>
        <w:tc>
          <w:tcPr>
            <w:tcW w:w="7292" w:type="dxa"/>
            <w:vAlign w:val="center"/>
          </w:tcPr>
          <w:p w14:paraId="1BEE72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探索构建课程知识图谱，着重解决课程知识点重复或缺失等问题，逐步建立学科专业知识、能力、素质图谱。</w:t>
            </w:r>
          </w:p>
        </w:tc>
      </w:tr>
      <w:tr w14:paraId="03AC85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4" w:hRule="atLeast"/>
        </w:trPr>
        <w:tc>
          <w:tcPr>
            <w:tcW w:w="614" w:type="dxa"/>
            <w:vMerge w:val="continue"/>
            <w:vAlign w:val="center"/>
          </w:tcPr>
          <w:p w14:paraId="6C2853D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14:paraId="520C3D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已落实情况</w:t>
            </w:r>
          </w:p>
        </w:tc>
        <w:tc>
          <w:tcPr>
            <w:tcW w:w="7292" w:type="dxa"/>
            <w:vAlign w:val="center"/>
          </w:tcPr>
          <w:p w14:paraId="5206808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 w14:paraId="18A2B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7" w:hRule="atLeast"/>
        </w:trPr>
        <w:tc>
          <w:tcPr>
            <w:tcW w:w="614" w:type="dxa"/>
            <w:vMerge w:val="continue"/>
            <w:vAlign w:val="center"/>
          </w:tcPr>
          <w:p w14:paraId="353EE6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14:paraId="0B7DE6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下一步计划</w:t>
            </w:r>
          </w:p>
        </w:tc>
        <w:tc>
          <w:tcPr>
            <w:tcW w:w="7292" w:type="dxa"/>
            <w:vAlign w:val="center"/>
          </w:tcPr>
          <w:p w14:paraId="4941187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38B20D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614" w:type="dxa"/>
            <w:vMerge w:val="restart"/>
            <w:shd w:val="clear" w:color="auto" w:fill="auto"/>
            <w:vAlign w:val="center"/>
          </w:tcPr>
          <w:p w14:paraId="4D4D743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7AA3D66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修订要求</w:t>
            </w:r>
          </w:p>
        </w:tc>
        <w:tc>
          <w:tcPr>
            <w:tcW w:w="7292" w:type="dxa"/>
            <w:vAlign w:val="center"/>
          </w:tcPr>
          <w:p w14:paraId="4843F0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及时将学科前沿知识、最新科研成果，行业发展新技术、案例，国际标准与规则等引入课堂、引进教材，体现前沿性、时代性、创新性。</w:t>
            </w:r>
          </w:p>
        </w:tc>
      </w:tr>
      <w:tr w14:paraId="3A13A4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2" w:hRule="atLeast"/>
        </w:trPr>
        <w:tc>
          <w:tcPr>
            <w:tcW w:w="614" w:type="dxa"/>
            <w:vMerge w:val="continue"/>
            <w:vAlign w:val="center"/>
          </w:tcPr>
          <w:p w14:paraId="519D91E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14:paraId="3556FD8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已落实情况</w:t>
            </w:r>
          </w:p>
        </w:tc>
        <w:tc>
          <w:tcPr>
            <w:tcW w:w="7292" w:type="dxa"/>
            <w:vAlign w:val="center"/>
          </w:tcPr>
          <w:p w14:paraId="386DBFC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 w14:paraId="643DE0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9" w:hRule="atLeast"/>
        </w:trPr>
        <w:tc>
          <w:tcPr>
            <w:tcW w:w="614" w:type="dxa"/>
            <w:vMerge w:val="continue"/>
            <w:vAlign w:val="center"/>
          </w:tcPr>
          <w:p w14:paraId="54E3428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14:paraId="6E6F68C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下一步计划</w:t>
            </w:r>
          </w:p>
        </w:tc>
        <w:tc>
          <w:tcPr>
            <w:tcW w:w="7292" w:type="dxa"/>
            <w:vAlign w:val="center"/>
          </w:tcPr>
          <w:p w14:paraId="569B64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 w14:paraId="0BF2D0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614" w:type="dxa"/>
            <w:vMerge w:val="restart"/>
            <w:vAlign w:val="center"/>
          </w:tcPr>
          <w:p w14:paraId="5A12A20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2A9C6A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修订要求</w:t>
            </w:r>
          </w:p>
        </w:tc>
        <w:tc>
          <w:tcPr>
            <w:tcW w:w="7292" w:type="dxa"/>
            <w:vAlign w:val="center"/>
          </w:tcPr>
          <w:p w14:paraId="782D8D7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实验课、综合实践实行项目制管理，所有课程均应列出具体项目。</w:t>
            </w:r>
          </w:p>
        </w:tc>
      </w:tr>
      <w:tr w14:paraId="29DD07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3" w:hRule="atLeast"/>
        </w:trPr>
        <w:tc>
          <w:tcPr>
            <w:tcW w:w="614" w:type="dxa"/>
            <w:vMerge w:val="continue"/>
            <w:vAlign w:val="center"/>
          </w:tcPr>
          <w:p w14:paraId="06389D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14:paraId="3D10375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已落实情况</w:t>
            </w:r>
          </w:p>
        </w:tc>
        <w:tc>
          <w:tcPr>
            <w:tcW w:w="7292" w:type="dxa"/>
            <w:vAlign w:val="center"/>
          </w:tcPr>
          <w:p w14:paraId="1CB94B9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 w14:paraId="3871A0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9" w:hRule="atLeast"/>
        </w:trPr>
        <w:tc>
          <w:tcPr>
            <w:tcW w:w="614" w:type="dxa"/>
            <w:vMerge w:val="continue"/>
            <w:vAlign w:val="center"/>
          </w:tcPr>
          <w:p w14:paraId="36B641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14:paraId="2BE8FAA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下一步计划</w:t>
            </w:r>
          </w:p>
        </w:tc>
        <w:tc>
          <w:tcPr>
            <w:tcW w:w="7292" w:type="dxa"/>
            <w:vAlign w:val="center"/>
          </w:tcPr>
          <w:p w14:paraId="567C81F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 w14:paraId="6AB731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614" w:type="dxa"/>
            <w:vMerge w:val="restart"/>
            <w:shd w:val="clear" w:color="auto" w:fill="auto"/>
            <w:vAlign w:val="center"/>
          </w:tcPr>
          <w:p w14:paraId="400A7D0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hint="default" w:ascii="黑体" w:hAnsi="黑体" w:eastAsia="黑体" w:cs="黑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4"/>
                <w:szCs w:val="24"/>
                <w:vertAlign w:val="baseline"/>
                <w:lang w:val="en-US" w:eastAsia="zh-CN" w:bidi="ar-SA"/>
              </w:rPr>
              <w:t>6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0A796C5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修订要求</w:t>
            </w:r>
          </w:p>
        </w:tc>
        <w:tc>
          <w:tcPr>
            <w:tcW w:w="7292" w:type="dxa"/>
            <w:vAlign w:val="center"/>
          </w:tcPr>
          <w:p w14:paraId="3C632E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应用新技术、新方法、新工艺、新标准更新实验教学内容，增加综合性、设计性、创新性、探索性实验、实践项目比例。</w:t>
            </w:r>
          </w:p>
        </w:tc>
      </w:tr>
      <w:tr w14:paraId="36D82F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9" w:hRule="atLeast"/>
        </w:trPr>
        <w:tc>
          <w:tcPr>
            <w:tcW w:w="614" w:type="dxa"/>
            <w:vMerge w:val="continue"/>
            <w:vAlign w:val="center"/>
          </w:tcPr>
          <w:p w14:paraId="0C0E9AD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14:paraId="767E82E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已落实情况</w:t>
            </w:r>
          </w:p>
        </w:tc>
        <w:tc>
          <w:tcPr>
            <w:tcW w:w="7292" w:type="dxa"/>
            <w:vAlign w:val="center"/>
          </w:tcPr>
          <w:p w14:paraId="3C1B90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 w14:paraId="212B87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9" w:hRule="atLeast"/>
        </w:trPr>
        <w:tc>
          <w:tcPr>
            <w:tcW w:w="614" w:type="dxa"/>
            <w:vMerge w:val="continue"/>
            <w:vAlign w:val="center"/>
          </w:tcPr>
          <w:p w14:paraId="3D9050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14:paraId="413CB4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下一步计划</w:t>
            </w:r>
          </w:p>
        </w:tc>
        <w:tc>
          <w:tcPr>
            <w:tcW w:w="7292" w:type="dxa"/>
            <w:vAlign w:val="center"/>
          </w:tcPr>
          <w:p w14:paraId="1C22D6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 w14:paraId="2642B7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614" w:type="dxa"/>
            <w:vMerge w:val="restart"/>
            <w:vAlign w:val="center"/>
          </w:tcPr>
          <w:p w14:paraId="66A7F3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6852C8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修订要求</w:t>
            </w:r>
          </w:p>
        </w:tc>
        <w:tc>
          <w:tcPr>
            <w:tcW w:w="7292" w:type="dxa"/>
            <w:vAlign w:val="center"/>
          </w:tcPr>
          <w:p w14:paraId="10ED42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实验学时在32学时及以上的须独立设课</w:t>
            </w:r>
          </w:p>
        </w:tc>
      </w:tr>
      <w:tr w14:paraId="705F51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3" w:hRule="atLeast"/>
        </w:trPr>
        <w:tc>
          <w:tcPr>
            <w:tcW w:w="614" w:type="dxa"/>
            <w:vMerge w:val="continue"/>
            <w:vAlign w:val="center"/>
          </w:tcPr>
          <w:p w14:paraId="5AAAC6D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14:paraId="0DFDC0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已落实情况</w:t>
            </w:r>
          </w:p>
        </w:tc>
        <w:tc>
          <w:tcPr>
            <w:tcW w:w="7292" w:type="dxa"/>
            <w:vAlign w:val="center"/>
          </w:tcPr>
          <w:p w14:paraId="4578B8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 w14:paraId="53142E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2" w:hRule="atLeast"/>
        </w:trPr>
        <w:tc>
          <w:tcPr>
            <w:tcW w:w="614" w:type="dxa"/>
            <w:vMerge w:val="continue"/>
            <w:vAlign w:val="center"/>
          </w:tcPr>
          <w:p w14:paraId="78E030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14:paraId="7606EC6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下一步计划</w:t>
            </w:r>
          </w:p>
        </w:tc>
        <w:tc>
          <w:tcPr>
            <w:tcW w:w="7292" w:type="dxa"/>
            <w:vAlign w:val="center"/>
          </w:tcPr>
          <w:p w14:paraId="7AD6F44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 w14:paraId="7804A2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614" w:type="dxa"/>
            <w:vMerge w:val="restart"/>
            <w:vAlign w:val="center"/>
          </w:tcPr>
          <w:p w14:paraId="11D7B2F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54041E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修订要求</w:t>
            </w:r>
          </w:p>
        </w:tc>
        <w:tc>
          <w:tcPr>
            <w:tcW w:w="7292" w:type="dxa"/>
            <w:vAlign w:val="center"/>
          </w:tcPr>
          <w:p w14:paraId="5DC04F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多门课程内的分散性实验须按实验项目重构教学内容，设置综合性实验课程。</w:t>
            </w:r>
          </w:p>
        </w:tc>
      </w:tr>
      <w:tr w14:paraId="0FFE27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9" w:hRule="atLeast"/>
        </w:trPr>
        <w:tc>
          <w:tcPr>
            <w:tcW w:w="614" w:type="dxa"/>
            <w:vMerge w:val="continue"/>
            <w:vAlign w:val="center"/>
          </w:tcPr>
          <w:p w14:paraId="743F2C8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14:paraId="78473E8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已落实情况</w:t>
            </w:r>
          </w:p>
        </w:tc>
        <w:tc>
          <w:tcPr>
            <w:tcW w:w="7292" w:type="dxa"/>
            <w:vAlign w:val="center"/>
          </w:tcPr>
          <w:p w14:paraId="2B6E8C2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 w14:paraId="64D148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2" w:hRule="atLeast"/>
        </w:trPr>
        <w:tc>
          <w:tcPr>
            <w:tcW w:w="614" w:type="dxa"/>
            <w:vMerge w:val="continue"/>
            <w:vAlign w:val="center"/>
          </w:tcPr>
          <w:p w14:paraId="3F92DFB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14:paraId="72C7BE0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下一步计划</w:t>
            </w:r>
          </w:p>
        </w:tc>
        <w:tc>
          <w:tcPr>
            <w:tcW w:w="7292" w:type="dxa"/>
            <w:vAlign w:val="center"/>
          </w:tcPr>
          <w:p w14:paraId="7FEEAEF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 w14:paraId="06FB78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</w:trPr>
        <w:tc>
          <w:tcPr>
            <w:tcW w:w="614" w:type="dxa"/>
            <w:vMerge w:val="restart"/>
            <w:vAlign w:val="center"/>
          </w:tcPr>
          <w:p w14:paraId="68F906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1FB76CB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>修订要求</w:t>
            </w:r>
          </w:p>
        </w:tc>
        <w:tc>
          <w:tcPr>
            <w:tcW w:w="7292" w:type="dxa"/>
            <w:vAlign w:val="center"/>
          </w:tcPr>
          <w:p w14:paraId="29214CB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鼓励开设实验选修项目，为学生提供更多的优质实践资源。</w:t>
            </w:r>
          </w:p>
        </w:tc>
      </w:tr>
      <w:tr w14:paraId="47A52E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0" w:hRule="atLeast"/>
        </w:trPr>
        <w:tc>
          <w:tcPr>
            <w:tcW w:w="614" w:type="dxa"/>
            <w:vMerge w:val="continue"/>
            <w:vAlign w:val="center"/>
          </w:tcPr>
          <w:p w14:paraId="77501A7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14:paraId="2BCB0C9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>已落实情况</w:t>
            </w:r>
          </w:p>
        </w:tc>
        <w:tc>
          <w:tcPr>
            <w:tcW w:w="7292" w:type="dxa"/>
            <w:vAlign w:val="center"/>
          </w:tcPr>
          <w:p w14:paraId="00BAE77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 w14:paraId="3F67BA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9" w:hRule="atLeast"/>
        </w:trPr>
        <w:tc>
          <w:tcPr>
            <w:tcW w:w="614" w:type="dxa"/>
            <w:vMerge w:val="continue"/>
            <w:vAlign w:val="center"/>
          </w:tcPr>
          <w:p w14:paraId="0620A4F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14:paraId="731262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>下一步计划</w:t>
            </w:r>
          </w:p>
        </w:tc>
        <w:tc>
          <w:tcPr>
            <w:tcW w:w="7292" w:type="dxa"/>
            <w:vAlign w:val="center"/>
          </w:tcPr>
          <w:p w14:paraId="1C89B03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 w14:paraId="166C38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6" w:hRule="atLeast"/>
        </w:trPr>
        <w:tc>
          <w:tcPr>
            <w:tcW w:w="614" w:type="dxa"/>
            <w:vMerge w:val="restart"/>
            <w:vAlign w:val="center"/>
          </w:tcPr>
          <w:p w14:paraId="2276638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01B09C7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修订</w:t>
            </w:r>
          </w:p>
          <w:p w14:paraId="53C3D1D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要求</w:t>
            </w:r>
          </w:p>
        </w:tc>
        <w:tc>
          <w:tcPr>
            <w:tcW w:w="7292" w:type="dxa"/>
            <w:vAlign w:val="center"/>
          </w:tcPr>
          <w:p w14:paraId="4A533D7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鼓励融合多门课程知识与实践，开设综合性大实习，提高学生解决复杂问题的能力和创新创造能力，每个专业开设的综合性大实习应不少于1门。</w:t>
            </w:r>
          </w:p>
        </w:tc>
      </w:tr>
      <w:tr w14:paraId="3681B1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9" w:hRule="atLeast"/>
        </w:trPr>
        <w:tc>
          <w:tcPr>
            <w:tcW w:w="614" w:type="dxa"/>
            <w:vMerge w:val="continue"/>
            <w:vAlign w:val="center"/>
          </w:tcPr>
          <w:p w14:paraId="6B0FE07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14:paraId="111718F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已落实情况</w:t>
            </w:r>
          </w:p>
        </w:tc>
        <w:tc>
          <w:tcPr>
            <w:tcW w:w="7292" w:type="dxa"/>
            <w:vAlign w:val="center"/>
          </w:tcPr>
          <w:p w14:paraId="0F7086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 w14:paraId="7AE71A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9" w:hRule="atLeast"/>
        </w:trPr>
        <w:tc>
          <w:tcPr>
            <w:tcW w:w="614" w:type="dxa"/>
            <w:vMerge w:val="continue"/>
            <w:vAlign w:val="center"/>
          </w:tcPr>
          <w:p w14:paraId="3948987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14:paraId="6915D4A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下一步计划</w:t>
            </w:r>
          </w:p>
        </w:tc>
        <w:tc>
          <w:tcPr>
            <w:tcW w:w="7292" w:type="dxa"/>
            <w:vAlign w:val="center"/>
          </w:tcPr>
          <w:p w14:paraId="0E6CF5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 w14:paraId="1AB242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614" w:type="dxa"/>
            <w:vMerge w:val="restart"/>
            <w:vAlign w:val="center"/>
          </w:tcPr>
          <w:p w14:paraId="4C587D0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5734C06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修订</w:t>
            </w:r>
          </w:p>
          <w:p w14:paraId="6B21212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要求</w:t>
            </w:r>
          </w:p>
        </w:tc>
        <w:tc>
          <w:tcPr>
            <w:tcW w:w="7292" w:type="dxa"/>
            <w:vAlign w:val="center"/>
          </w:tcPr>
          <w:p w14:paraId="37E4CC0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根据学科专业及不同课程的特性，建立分类、分段推进课程与教材内容动态更新机制；实行课程准入与退出制度。</w:t>
            </w:r>
          </w:p>
        </w:tc>
      </w:tr>
      <w:tr w14:paraId="57F9A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5" w:hRule="atLeast"/>
        </w:trPr>
        <w:tc>
          <w:tcPr>
            <w:tcW w:w="614" w:type="dxa"/>
            <w:vMerge w:val="continue"/>
            <w:vAlign w:val="center"/>
          </w:tcPr>
          <w:p w14:paraId="61A91AC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14:paraId="32E243D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已落实情况</w:t>
            </w:r>
          </w:p>
        </w:tc>
        <w:tc>
          <w:tcPr>
            <w:tcW w:w="7292" w:type="dxa"/>
            <w:vAlign w:val="center"/>
          </w:tcPr>
          <w:p w14:paraId="4E3F13B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 w14:paraId="7864EF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4" w:hRule="atLeast"/>
        </w:trPr>
        <w:tc>
          <w:tcPr>
            <w:tcW w:w="614" w:type="dxa"/>
            <w:vMerge w:val="continue"/>
            <w:vAlign w:val="center"/>
          </w:tcPr>
          <w:p w14:paraId="261213D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14:paraId="10BC9B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下一步计划</w:t>
            </w:r>
          </w:p>
        </w:tc>
        <w:tc>
          <w:tcPr>
            <w:tcW w:w="7292" w:type="dxa"/>
            <w:vAlign w:val="center"/>
          </w:tcPr>
          <w:p w14:paraId="142FEE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23274B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614" w:type="dxa"/>
            <w:vMerge w:val="restart"/>
            <w:vAlign w:val="center"/>
          </w:tcPr>
          <w:p w14:paraId="0E2E56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63EEC31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修订</w:t>
            </w:r>
          </w:p>
          <w:p w14:paraId="7BDC653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要求</w:t>
            </w:r>
          </w:p>
        </w:tc>
        <w:tc>
          <w:tcPr>
            <w:tcW w:w="7292" w:type="dxa"/>
            <w:vAlign w:val="center"/>
          </w:tcPr>
          <w:p w14:paraId="3035227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大力推动农工、农理、农文、文理等不同学科知识的交叉融合，打造学科交叉融合课程。</w:t>
            </w:r>
          </w:p>
        </w:tc>
      </w:tr>
      <w:tr w14:paraId="4ED49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4" w:hRule="atLeast"/>
        </w:trPr>
        <w:tc>
          <w:tcPr>
            <w:tcW w:w="614" w:type="dxa"/>
            <w:vMerge w:val="continue"/>
            <w:vAlign w:val="center"/>
          </w:tcPr>
          <w:p w14:paraId="7CDE71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14:paraId="718C3B8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已落实情况</w:t>
            </w:r>
          </w:p>
        </w:tc>
        <w:tc>
          <w:tcPr>
            <w:tcW w:w="7292" w:type="dxa"/>
            <w:vAlign w:val="center"/>
          </w:tcPr>
          <w:p w14:paraId="5DBFCF7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 w14:paraId="7B174D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7" w:hRule="atLeast"/>
        </w:trPr>
        <w:tc>
          <w:tcPr>
            <w:tcW w:w="614" w:type="dxa"/>
            <w:vMerge w:val="continue"/>
            <w:vAlign w:val="center"/>
          </w:tcPr>
          <w:p w14:paraId="21643F3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14:paraId="391D14D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下一步计划</w:t>
            </w:r>
          </w:p>
        </w:tc>
        <w:tc>
          <w:tcPr>
            <w:tcW w:w="7292" w:type="dxa"/>
            <w:vAlign w:val="center"/>
          </w:tcPr>
          <w:p w14:paraId="0596E65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70925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5" w:hRule="atLeast"/>
        </w:trPr>
        <w:tc>
          <w:tcPr>
            <w:tcW w:w="614" w:type="dxa"/>
            <w:vMerge w:val="restart"/>
            <w:vAlign w:val="center"/>
          </w:tcPr>
          <w:p w14:paraId="24C0CE8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484F59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修订要求</w:t>
            </w:r>
          </w:p>
        </w:tc>
        <w:tc>
          <w:tcPr>
            <w:tcW w:w="7292" w:type="dxa"/>
            <w:vAlign w:val="center"/>
          </w:tcPr>
          <w:p w14:paraId="25DC1BD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依托教师科研课题，开发“科教融汇项目式课程”，吸纳本科生开展高水平科学研究；与企业联合开发“产教融合项目式课程”，以关键技术问题引导学生开展创新创业实践。鼓励与学生毕业论文（设计）、大学生创新创业训练项目、学科竞赛项目等一体化设计。</w:t>
            </w:r>
          </w:p>
        </w:tc>
      </w:tr>
      <w:tr w14:paraId="03489E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5" w:hRule="atLeast"/>
        </w:trPr>
        <w:tc>
          <w:tcPr>
            <w:tcW w:w="614" w:type="dxa"/>
            <w:vMerge w:val="continue"/>
            <w:vAlign w:val="center"/>
          </w:tcPr>
          <w:p w14:paraId="4FC8FE7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14:paraId="51F6E51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已落实情况</w:t>
            </w:r>
          </w:p>
        </w:tc>
        <w:tc>
          <w:tcPr>
            <w:tcW w:w="7292" w:type="dxa"/>
            <w:vAlign w:val="center"/>
          </w:tcPr>
          <w:p w14:paraId="0B6C6BE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 w14:paraId="20AB09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1" w:hRule="atLeast"/>
        </w:trPr>
        <w:tc>
          <w:tcPr>
            <w:tcW w:w="614" w:type="dxa"/>
            <w:vMerge w:val="continue"/>
            <w:vAlign w:val="center"/>
          </w:tcPr>
          <w:p w14:paraId="0BC00F1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14:paraId="4F67A8C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下一步计划</w:t>
            </w:r>
          </w:p>
        </w:tc>
        <w:tc>
          <w:tcPr>
            <w:tcW w:w="7292" w:type="dxa"/>
            <w:vAlign w:val="center"/>
          </w:tcPr>
          <w:p w14:paraId="445E700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32167A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</w:trPr>
        <w:tc>
          <w:tcPr>
            <w:tcW w:w="614" w:type="dxa"/>
            <w:vMerge w:val="restart"/>
            <w:vAlign w:val="center"/>
          </w:tcPr>
          <w:p w14:paraId="24D97FC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4D94FA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修订要求</w:t>
            </w:r>
          </w:p>
        </w:tc>
        <w:tc>
          <w:tcPr>
            <w:tcW w:w="7292" w:type="dxa"/>
            <w:vAlign w:val="center"/>
          </w:tcPr>
          <w:p w14:paraId="489C0C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将创新创业教育融入人才培养全过程，鼓励校企合作开设“专创融合”课程，挖掘和充实专业课程的创新创业教育资源，将创新创业理念、知识与专业教育有机融合。</w:t>
            </w:r>
          </w:p>
        </w:tc>
      </w:tr>
      <w:tr w14:paraId="20FC48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9" w:hRule="atLeast"/>
        </w:trPr>
        <w:tc>
          <w:tcPr>
            <w:tcW w:w="614" w:type="dxa"/>
            <w:vMerge w:val="continue"/>
            <w:vAlign w:val="center"/>
          </w:tcPr>
          <w:p w14:paraId="077C15D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14:paraId="24BC80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已落实情况</w:t>
            </w:r>
          </w:p>
        </w:tc>
        <w:tc>
          <w:tcPr>
            <w:tcW w:w="7292" w:type="dxa"/>
            <w:vAlign w:val="center"/>
          </w:tcPr>
          <w:p w14:paraId="63D9AD9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 w14:paraId="11B8A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5" w:hRule="atLeast"/>
        </w:trPr>
        <w:tc>
          <w:tcPr>
            <w:tcW w:w="614" w:type="dxa"/>
            <w:vMerge w:val="continue"/>
            <w:vAlign w:val="center"/>
          </w:tcPr>
          <w:p w14:paraId="78CF813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14:paraId="28C8D03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下一步计划</w:t>
            </w:r>
          </w:p>
        </w:tc>
        <w:tc>
          <w:tcPr>
            <w:tcW w:w="7292" w:type="dxa"/>
            <w:vAlign w:val="center"/>
          </w:tcPr>
          <w:p w14:paraId="5AC6746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192B28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</w:trPr>
        <w:tc>
          <w:tcPr>
            <w:tcW w:w="614" w:type="dxa"/>
            <w:vMerge w:val="restart"/>
            <w:vAlign w:val="center"/>
          </w:tcPr>
          <w:p w14:paraId="6610C4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7F8F57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修订要求</w:t>
            </w:r>
          </w:p>
        </w:tc>
        <w:tc>
          <w:tcPr>
            <w:tcW w:w="7292" w:type="dxa"/>
            <w:vAlign w:val="center"/>
          </w:tcPr>
          <w:p w14:paraId="5DC86C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对标国际同类、高水平专业确定课程及教学质量标准，引进国外优质教育教学资源，探索“在地国际化”发展新路径，开设海外名师讲堂、全英文课程等国际化课程，增强学生本土国际化体验。</w:t>
            </w:r>
          </w:p>
        </w:tc>
      </w:tr>
      <w:tr w14:paraId="04FADD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614" w:type="dxa"/>
            <w:vMerge w:val="continue"/>
            <w:vAlign w:val="center"/>
          </w:tcPr>
          <w:p w14:paraId="2BC16A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14:paraId="792F37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已落实情况</w:t>
            </w:r>
          </w:p>
        </w:tc>
        <w:tc>
          <w:tcPr>
            <w:tcW w:w="7292" w:type="dxa"/>
            <w:vAlign w:val="center"/>
          </w:tcPr>
          <w:p w14:paraId="251CEED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 w14:paraId="519548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7" w:hRule="atLeast"/>
        </w:trPr>
        <w:tc>
          <w:tcPr>
            <w:tcW w:w="614" w:type="dxa"/>
            <w:vMerge w:val="continue"/>
            <w:vAlign w:val="center"/>
          </w:tcPr>
          <w:p w14:paraId="18873CA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14:paraId="7C38E23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下一步计划</w:t>
            </w:r>
          </w:p>
        </w:tc>
        <w:tc>
          <w:tcPr>
            <w:tcW w:w="7292" w:type="dxa"/>
            <w:vAlign w:val="center"/>
          </w:tcPr>
          <w:p w14:paraId="486697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6BE096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2" w:hRule="atLeast"/>
        </w:trPr>
        <w:tc>
          <w:tcPr>
            <w:tcW w:w="614" w:type="dxa"/>
            <w:vMerge w:val="restart"/>
            <w:vAlign w:val="center"/>
          </w:tcPr>
          <w:p w14:paraId="376512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16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5DF7A4E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修订要求</w:t>
            </w:r>
          </w:p>
        </w:tc>
        <w:tc>
          <w:tcPr>
            <w:tcW w:w="7292" w:type="dxa"/>
            <w:vAlign w:val="center"/>
          </w:tcPr>
          <w:p w14:paraId="0B44F4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每个专业至少新建（改造）信息技术与专业融合、专创融合、学科交叉等交叉融合课程3门，开出全英文课程2门；建设科教融汇项目式课程和产教融合项目式课程各1门，并持续改进、逐步扩大课程覆盖面。各学院要积极开设面向全校的高水平通识类选修课程，开设学科前沿与科技创新类课程1门以上；农科类学院还应有计划、分批次开出以粮食安全、人类健康、生态文明与乡村振兴等为主题的通识类选修课程5门以上，文科学院开设文史哲学与文明对话课程1-2门。</w:t>
            </w:r>
          </w:p>
          <w:p w14:paraId="377A72F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068656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4" w:hRule="atLeast"/>
        </w:trPr>
        <w:tc>
          <w:tcPr>
            <w:tcW w:w="614" w:type="dxa"/>
            <w:vMerge w:val="continue"/>
            <w:vAlign w:val="center"/>
          </w:tcPr>
          <w:p w14:paraId="5373BDD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14:paraId="7D43A68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已落实情况</w:t>
            </w:r>
          </w:p>
        </w:tc>
        <w:tc>
          <w:tcPr>
            <w:tcW w:w="7292" w:type="dxa"/>
            <w:vAlign w:val="center"/>
          </w:tcPr>
          <w:p w14:paraId="0CB2D6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7B211B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4" w:hRule="atLeast"/>
        </w:trPr>
        <w:tc>
          <w:tcPr>
            <w:tcW w:w="614" w:type="dxa"/>
            <w:vMerge w:val="continue"/>
            <w:vAlign w:val="center"/>
          </w:tcPr>
          <w:p w14:paraId="580C085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14:paraId="79BE7B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下一步计划</w:t>
            </w:r>
          </w:p>
        </w:tc>
        <w:tc>
          <w:tcPr>
            <w:tcW w:w="7292" w:type="dxa"/>
            <w:vAlign w:val="center"/>
          </w:tcPr>
          <w:p w14:paraId="54F53F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 w14:paraId="74CF4FFC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default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跨学院选课情况</w:t>
      </w:r>
    </w:p>
    <w:p w14:paraId="6BF2E4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420" w:firstLineChars="200"/>
        <w:jc w:val="both"/>
        <w:textAlignment w:val="auto"/>
        <w:rPr>
          <w:rFonts w:hint="eastAsia" w:ascii="黑体" w:hAnsi="黑体" w:eastAsia="黑体" w:cs="黑体"/>
          <w:color w:val="4874CB" w:themeColor="accent1"/>
          <w:kern w:val="2"/>
          <w:sz w:val="21"/>
          <w:szCs w:val="21"/>
          <w:highlight w:val="none"/>
          <w:lang w:val="en-US" w:eastAsia="zh-CN" w:bidi="zh-CN"/>
          <w14:textFill>
            <w14:solidFill>
              <w14:schemeClr w14:val="accent1"/>
            </w14:solidFill>
          </w14:textFill>
        </w:rPr>
      </w:pPr>
      <w:r>
        <w:rPr>
          <w:rFonts w:hint="eastAsia" w:ascii="黑体" w:hAnsi="黑体" w:eastAsia="黑体" w:cs="黑体"/>
          <w:color w:val="4874CB" w:themeColor="accent1"/>
          <w:kern w:val="2"/>
          <w:sz w:val="21"/>
          <w:szCs w:val="21"/>
          <w:highlight w:val="none"/>
          <w:lang w:val="en-US" w:eastAsia="zh-CN" w:bidi="zh-CN"/>
          <w14:textFill>
            <w14:solidFill>
              <w14:schemeClr w14:val="accent1"/>
            </w14:solidFill>
          </w14:textFill>
        </w:rPr>
        <w:t>（选用其他学院开设的课程，应特别就课程名称、学分学时、开课学期、开课方式等与开课学院提前沟通，以确保课程信息准确且能够开出）</w:t>
      </w:r>
    </w:p>
    <w:p w14:paraId="44159B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本学院学科专业基础课、综合实践2个模块共开设课程X门，其中选用其他学院开设的课程有XX门。详单见《跨学院开设课程双方确认表》 。</w:t>
      </w:r>
    </w:p>
    <w:p w14:paraId="536879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560" w:firstLineChars="200"/>
        <w:jc w:val="both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</w:p>
    <w:p w14:paraId="3B81DA7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0" w:firstLineChars="200"/>
        <w:jc w:val="both"/>
        <w:textAlignment w:val="auto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培养方案论证情况</w:t>
      </w:r>
    </w:p>
    <w:p w14:paraId="57AC19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420" w:firstLineChars="200"/>
        <w:jc w:val="both"/>
        <w:textAlignment w:val="auto"/>
        <w:rPr>
          <w:rFonts w:hint="eastAsia" w:ascii="黑体" w:hAnsi="黑体" w:eastAsia="黑体" w:cs="黑体"/>
          <w:color w:val="4874CB" w:themeColor="accent1"/>
          <w:kern w:val="2"/>
          <w:sz w:val="21"/>
          <w:szCs w:val="21"/>
          <w:highlight w:val="none"/>
          <w:lang w:val="en-US" w:eastAsia="zh-CN" w:bidi="zh-CN"/>
          <w14:textFill>
            <w14:solidFill>
              <w14:schemeClr w14:val="accent1"/>
            </w14:solidFill>
          </w14:textFill>
        </w:rPr>
      </w:pPr>
      <w:r>
        <w:rPr>
          <w:rFonts w:hint="eastAsia" w:ascii="黑体" w:hAnsi="黑体" w:eastAsia="黑体" w:cs="黑体"/>
          <w:color w:val="4874CB" w:themeColor="accent1"/>
          <w:kern w:val="2"/>
          <w:sz w:val="21"/>
          <w:szCs w:val="21"/>
          <w:highlight w:val="none"/>
          <w:lang w:val="en-US" w:eastAsia="zh-CN" w:bidi="zh-CN"/>
          <w14:textFill>
            <w14:solidFill>
              <w14:schemeClr w14:val="accent1"/>
            </w14:solidFill>
          </w14:textFill>
        </w:rPr>
        <w:t>（简述前期调研情况，修订工作小组人员组成情况，学院组织论证情况，学院教授委员会审定及党政联席会审核情况）</w:t>
      </w:r>
    </w:p>
    <w:p w14:paraId="58CFCB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420" w:firstLineChars="200"/>
        <w:jc w:val="both"/>
        <w:textAlignment w:val="auto"/>
        <w:rPr>
          <w:rFonts w:hint="default" w:ascii="黑体" w:hAnsi="黑体" w:eastAsia="黑体" w:cs="黑体"/>
          <w:color w:val="4874CB" w:themeColor="accent1"/>
          <w:kern w:val="2"/>
          <w:sz w:val="21"/>
          <w:szCs w:val="21"/>
          <w:highlight w:val="none"/>
          <w:lang w:val="en-US" w:eastAsia="zh-CN" w:bidi="zh-CN"/>
          <w14:textFill>
            <w14:solidFill>
              <w14:schemeClr w14:val="accent1"/>
            </w14:solidFill>
          </w14:textFill>
        </w:rPr>
      </w:pPr>
    </w:p>
    <w:p w14:paraId="0669E9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420" w:firstLineChars="200"/>
        <w:jc w:val="both"/>
        <w:textAlignment w:val="auto"/>
        <w:rPr>
          <w:rFonts w:hint="default" w:ascii="黑体" w:hAnsi="黑体" w:eastAsia="黑体" w:cs="黑体"/>
          <w:color w:val="4874CB" w:themeColor="accent1"/>
          <w:kern w:val="2"/>
          <w:sz w:val="21"/>
          <w:szCs w:val="21"/>
          <w:highlight w:val="none"/>
          <w:lang w:val="en-US" w:eastAsia="zh-CN" w:bidi="zh-CN"/>
          <w14:textFill>
            <w14:solidFill>
              <w14:schemeClr w14:val="accent1"/>
            </w14:solidFill>
          </w14:textFill>
        </w:rPr>
      </w:pPr>
    </w:p>
    <w:p w14:paraId="5FD49CF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0" w:firstLineChars="200"/>
        <w:jc w:val="both"/>
        <w:textAlignment w:val="auto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新版方案的特色</w:t>
      </w:r>
    </w:p>
    <w:p w14:paraId="4CED53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420" w:firstLineChars="200"/>
        <w:jc w:val="both"/>
        <w:textAlignment w:val="auto"/>
        <w:rPr>
          <w:rFonts w:hint="eastAsia" w:ascii="黑体" w:hAnsi="黑体" w:eastAsia="黑体" w:cs="黑体"/>
          <w:color w:val="4874CB" w:themeColor="accent1"/>
          <w:kern w:val="2"/>
          <w:sz w:val="21"/>
          <w:szCs w:val="21"/>
          <w:highlight w:val="none"/>
          <w:lang w:val="en-US" w:eastAsia="zh-CN" w:bidi="zh-CN"/>
          <w14:textFill>
            <w14:solidFill>
              <w14:schemeClr w14:val="accent1"/>
            </w14:solidFill>
          </w14:textFill>
        </w:rPr>
      </w:pPr>
      <w:r>
        <w:rPr>
          <w:rFonts w:hint="eastAsia" w:ascii="黑体" w:hAnsi="黑体" w:eastAsia="黑体" w:cs="黑体"/>
          <w:color w:val="4874CB" w:themeColor="accent1"/>
          <w:kern w:val="2"/>
          <w:sz w:val="21"/>
          <w:szCs w:val="21"/>
          <w:highlight w:val="none"/>
          <w:lang w:val="en-US" w:eastAsia="zh-CN" w:bidi="zh-CN"/>
          <w14:textFill>
            <w14:solidFill>
              <w14:schemeClr w14:val="accent1"/>
            </w14:solidFill>
          </w14:textFill>
        </w:rPr>
        <w:t>（简述与2019版培养方案相比，2025版</w:t>
      </w:r>
      <w:bookmarkStart w:id="0" w:name="_GoBack"/>
      <w:r>
        <w:rPr>
          <w:rFonts w:hint="eastAsia" w:ascii="黑体" w:hAnsi="黑体" w:eastAsia="黑体" w:cs="黑体"/>
          <w:color w:val="4874CB" w:themeColor="accent1"/>
          <w:kern w:val="2"/>
          <w:sz w:val="21"/>
          <w:szCs w:val="21"/>
          <w:highlight w:val="none"/>
          <w:lang w:val="en-US" w:eastAsia="zh-CN" w:bidi="zh-CN"/>
          <w14:textFill>
            <w14:solidFill>
              <w14:schemeClr w14:val="accent1"/>
            </w14:solidFill>
          </w14:textFill>
        </w:rPr>
        <w:t>方案的亮点与特色）</w:t>
      </w:r>
      <w:bookmarkEnd w:id="0"/>
    </w:p>
    <w:p w14:paraId="249CE8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420" w:firstLineChars="200"/>
        <w:jc w:val="both"/>
        <w:textAlignment w:val="auto"/>
        <w:rPr>
          <w:rFonts w:hint="eastAsia" w:ascii="黑体" w:hAnsi="黑体" w:eastAsia="黑体" w:cs="黑体"/>
          <w:color w:val="4874CB" w:themeColor="accent1"/>
          <w:kern w:val="2"/>
          <w:sz w:val="21"/>
          <w:szCs w:val="21"/>
          <w:highlight w:val="none"/>
          <w:lang w:val="en-US" w:eastAsia="zh-CN" w:bidi="zh-CN"/>
          <w14:textFill>
            <w14:solidFill>
              <w14:schemeClr w14:val="accent1"/>
            </w14:solidFill>
          </w14:textFill>
        </w:rPr>
      </w:pPr>
    </w:p>
    <w:p w14:paraId="66E4DDD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0" w:firstLineChars="200"/>
        <w:jc w:val="both"/>
        <w:textAlignment w:val="auto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存在问题与建议</w:t>
      </w:r>
    </w:p>
    <w:p w14:paraId="7F904F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420" w:firstLineChars="200"/>
        <w:jc w:val="both"/>
        <w:textAlignment w:val="auto"/>
        <w:rPr>
          <w:rFonts w:hint="default" w:ascii="黑体" w:hAnsi="黑体" w:eastAsia="黑体" w:cs="黑体"/>
          <w:color w:val="4874CB" w:themeColor="accent1"/>
          <w:kern w:val="2"/>
          <w:sz w:val="21"/>
          <w:szCs w:val="21"/>
          <w:highlight w:val="none"/>
          <w:lang w:val="en-US" w:eastAsia="zh-CN" w:bidi="zh-CN"/>
          <w14:textFill>
            <w14:solidFill>
              <w14:schemeClr w14:val="accent1"/>
            </w14:solidFill>
          </w14:textFill>
        </w:rPr>
      </w:pPr>
      <w:r>
        <w:rPr>
          <w:rFonts w:hint="eastAsia" w:ascii="黑体" w:hAnsi="黑体" w:eastAsia="黑体" w:cs="黑体"/>
          <w:color w:val="4874CB" w:themeColor="accent1"/>
          <w:kern w:val="2"/>
          <w:sz w:val="21"/>
          <w:szCs w:val="21"/>
          <w:highlight w:val="none"/>
          <w:lang w:val="en-US" w:eastAsia="zh-CN" w:bidi="zh-CN"/>
          <w14:textFill>
            <w14:solidFill>
              <w14:schemeClr w14:val="accent1"/>
            </w14:solidFill>
          </w14:textFill>
        </w:rPr>
        <w:t>（选填）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1160BDF"/>
    <w:multiLevelType w:val="singleLevel"/>
    <w:tmpl w:val="A1160BD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18CEF7E"/>
    <w:multiLevelType w:val="singleLevel"/>
    <w:tmpl w:val="518CEF7E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971ABE"/>
    <w:rsid w:val="01971ABE"/>
    <w:rsid w:val="09464B86"/>
    <w:rsid w:val="0B8C0001"/>
    <w:rsid w:val="0F877108"/>
    <w:rsid w:val="10C111E3"/>
    <w:rsid w:val="16C21846"/>
    <w:rsid w:val="1D4324BB"/>
    <w:rsid w:val="243279D1"/>
    <w:rsid w:val="27514612"/>
    <w:rsid w:val="28480D9A"/>
    <w:rsid w:val="2DE735DA"/>
    <w:rsid w:val="320A24D5"/>
    <w:rsid w:val="324D1890"/>
    <w:rsid w:val="379A0F97"/>
    <w:rsid w:val="394520A5"/>
    <w:rsid w:val="444924A1"/>
    <w:rsid w:val="4740402F"/>
    <w:rsid w:val="4AB97C54"/>
    <w:rsid w:val="505A5490"/>
    <w:rsid w:val="51413E72"/>
    <w:rsid w:val="518F49C1"/>
    <w:rsid w:val="51A62FAE"/>
    <w:rsid w:val="52BB7941"/>
    <w:rsid w:val="53EF2C57"/>
    <w:rsid w:val="56F51BCF"/>
    <w:rsid w:val="59B469B8"/>
    <w:rsid w:val="5AB86A1E"/>
    <w:rsid w:val="5FF37856"/>
    <w:rsid w:val="6A5A40E8"/>
    <w:rsid w:val="6D910820"/>
    <w:rsid w:val="78E346F2"/>
    <w:rsid w:val="79616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3100</Words>
  <Characters>3159</Characters>
  <Lines>0</Lines>
  <Paragraphs>0</Paragraphs>
  <TotalTime>2</TotalTime>
  <ScaleCrop>false</ScaleCrop>
  <LinksUpToDate>false</LinksUpToDate>
  <CharactersWithSpaces>3173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2025-06-16T09:10:00Z</dcterms:created>
  <dc:creator>   </dc:creator>
  <cp:lastModifiedBy>   </cp:lastModifiedBy>
  <dcterms:modified xsi:type="dcterms:W3CDTF">2025-07-02T06:42:50Z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C963FDE52EE34743A49AA2D0BBFF2DFF_11</vt:lpwstr>
  </property>
  <property fmtid="{D5CDD505-2E9C-101B-9397-08002B2CF9AE}" pid="4" name="KSOTemplateDocerSaveRecord">
    <vt:lpwstr>eyJoZGlkIjoiMjA2MWQyY2ZlM2RlMjdlZDI2ZDdmNWFiZmZjYjViNzUiLCJ1c2VySWQiOiIyODYxOTExOTAifQ==</vt:lpwstr>
  </property>
</Properties>
</file>